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FF9" w:rsidRPr="00EF7ED2" w:rsidRDefault="00405FF9" w:rsidP="00405FF9">
      <w:pPr>
        <w:jc w:val="right"/>
        <w:rPr>
          <w:rFonts w:ascii="Times New Roman" w:hAnsi="Times New Roman" w:cs="Times New Roman"/>
          <w:b/>
          <w:sz w:val="25"/>
          <w:szCs w:val="25"/>
        </w:rPr>
      </w:pPr>
      <w:r w:rsidRPr="00EF7ED2">
        <w:rPr>
          <w:rFonts w:ascii="Times New Roman" w:hAnsi="Times New Roman" w:cs="Times New Roman"/>
          <w:b/>
          <w:sz w:val="25"/>
          <w:szCs w:val="25"/>
        </w:rPr>
        <w:t>Date: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5220"/>
      </w:tblGrid>
      <w:tr w:rsidR="00DF7ADE" w:rsidRPr="00EF7ED2" w:rsidTr="005A0A2B">
        <w:tc>
          <w:tcPr>
            <w:tcW w:w="5220" w:type="dxa"/>
          </w:tcPr>
          <w:p w:rsidR="00DF7ADE" w:rsidRPr="00EF7ED2" w:rsidRDefault="00DF7ADE" w:rsidP="00DF7ADE">
            <w:pPr>
              <w:rPr>
                <w:rFonts w:ascii="Times New Roman" w:hAnsi="Times New Roman" w:cs="Times New Roman"/>
                <w:b/>
                <w:sz w:val="25"/>
                <w:szCs w:val="25"/>
              </w:rPr>
            </w:pPr>
            <w:r w:rsidRPr="00EF7ED2">
              <w:rPr>
                <w:rFonts w:ascii="Times New Roman" w:hAnsi="Times New Roman" w:cs="Times New Roman"/>
                <w:b/>
                <w:sz w:val="25"/>
                <w:szCs w:val="25"/>
                <w:u w:val="single"/>
              </w:rPr>
              <w:t>Attorney General</w:t>
            </w:r>
            <w:r w:rsidRPr="00EF7ED2">
              <w:rPr>
                <w:rFonts w:ascii="Times New Roman" w:hAnsi="Times New Roman" w:cs="Times New Roman"/>
                <w:b/>
                <w:sz w:val="25"/>
                <w:szCs w:val="25"/>
              </w:rPr>
              <w:t>:</w:t>
            </w:r>
          </w:p>
          <w:p w:rsidR="00DF7ADE" w:rsidRPr="00EF7ED2" w:rsidRDefault="00DF7ADE" w:rsidP="00DF7ADE">
            <w:pPr>
              <w:tabs>
                <w:tab w:val="left" w:pos="1795"/>
              </w:tabs>
              <w:rPr>
                <w:rFonts w:ascii="Times New Roman" w:hAnsi="Times New Roman" w:cs="Times New Roman"/>
                <w:b/>
                <w:sz w:val="25"/>
                <w:szCs w:val="25"/>
              </w:rPr>
            </w:pPr>
          </w:p>
          <w:p w:rsidR="008D3788" w:rsidRPr="00EF7ED2" w:rsidRDefault="008D3788" w:rsidP="00DF7ADE">
            <w:pPr>
              <w:tabs>
                <w:tab w:val="left" w:pos="1795"/>
              </w:tabs>
              <w:rPr>
                <w:rFonts w:ascii="Times New Roman" w:hAnsi="Times New Roman" w:cs="Times New Roman"/>
                <w:b/>
                <w:sz w:val="25"/>
                <w:szCs w:val="25"/>
              </w:rPr>
            </w:pPr>
          </w:p>
          <w:p w:rsidR="00DF7ADE" w:rsidRPr="00EF7ED2" w:rsidRDefault="00DF7ADE" w:rsidP="00DF7ADE">
            <w:pPr>
              <w:tabs>
                <w:tab w:val="left" w:pos="1795"/>
              </w:tabs>
              <w:rPr>
                <w:rFonts w:ascii="Times New Roman" w:hAnsi="Times New Roman" w:cs="Times New Roman"/>
                <w:b/>
                <w:sz w:val="25"/>
                <w:szCs w:val="25"/>
              </w:rPr>
            </w:pPr>
          </w:p>
          <w:p w:rsidR="00DF7ADE" w:rsidRPr="00EF7ED2" w:rsidRDefault="00DF7ADE" w:rsidP="00DF7ADE">
            <w:pPr>
              <w:tabs>
                <w:tab w:val="left" w:pos="1795"/>
              </w:tabs>
              <w:rPr>
                <w:rFonts w:ascii="Times New Roman" w:hAnsi="Times New Roman" w:cs="Times New Roman"/>
                <w:b/>
                <w:sz w:val="25"/>
                <w:szCs w:val="25"/>
              </w:rPr>
            </w:pPr>
          </w:p>
          <w:p w:rsidR="00DF7ADE" w:rsidRPr="00EF7ED2" w:rsidRDefault="00DF7ADE" w:rsidP="00DF7ADE">
            <w:pPr>
              <w:rPr>
                <w:rFonts w:ascii="Times New Roman" w:hAnsi="Times New Roman" w:cs="Times New Roman"/>
                <w:b/>
                <w:sz w:val="25"/>
                <w:szCs w:val="25"/>
                <w:u w:val="single"/>
              </w:rPr>
            </w:pPr>
            <w:r w:rsidRPr="00EF7ED2">
              <w:rPr>
                <w:rFonts w:ascii="Times New Roman" w:hAnsi="Times New Roman" w:cs="Times New Roman"/>
                <w:b/>
                <w:sz w:val="25"/>
                <w:szCs w:val="25"/>
                <w:u w:val="single"/>
              </w:rPr>
              <w:t>Chief Administrator of the Court:</w:t>
            </w:r>
          </w:p>
          <w:p w:rsidR="006A4B65" w:rsidRPr="00EF7ED2" w:rsidRDefault="006A4B65" w:rsidP="00656EF7">
            <w:pPr>
              <w:rPr>
                <w:rFonts w:ascii="Times New Roman" w:hAnsi="Times New Roman" w:cs="Times New Roman"/>
                <w:sz w:val="25"/>
                <w:szCs w:val="25"/>
              </w:rPr>
            </w:pPr>
          </w:p>
          <w:p w:rsidR="008D3788" w:rsidRPr="00EF7ED2" w:rsidRDefault="008D3788" w:rsidP="00656EF7">
            <w:pPr>
              <w:rPr>
                <w:rFonts w:ascii="Times New Roman" w:hAnsi="Times New Roman" w:cs="Times New Roman"/>
                <w:sz w:val="25"/>
                <w:szCs w:val="25"/>
              </w:rPr>
            </w:pPr>
          </w:p>
          <w:p w:rsidR="003D5296" w:rsidRPr="00EF7ED2" w:rsidRDefault="003D5296" w:rsidP="00656EF7">
            <w:pPr>
              <w:rPr>
                <w:rFonts w:ascii="Times New Roman" w:hAnsi="Times New Roman" w:cs="Times New Roman"/>
                <w:sz w:val="25"/>
                <w:szCs w:val="25"/>
              </w:rPr>
            </w:pPr>
          </w:p>
        </w:tc>
        <w:tc>
          <w:tcPr>
            <w:tcW w:w="5220" w:type="dxa"/>
          </w:tcPr>
          <w:p w:rsidR="00DF7ADE" w:rsidRPr="00EF7ED2" w:rsidRDefault="00DF7ADE" w:rsidP="00DF7ADE">
            <w:pPr>
              <w:jc w:val="center"/>
              <w:rPr>
                <w:rFonts w:ascii="Times New Roman" w:hAnsi="Times New Roman" w:cs="Times New Roman"/>
                <w:b/>
                <w:sz w:val="25"/>
                <w:szCs w:val="25"/>
                <w:u w:val="single"/>
              </w:rPr>
            </w:pPr>
          </w:p>
          <w:p w:rsidR="006A4B65" w:rsidRPr="00EF7ED2" w:rsidRDefault="006A4B65" w:rsidP="00DF7ADE">
            <w:pPr>
              <w:jc w:val="center"/>
              <w:rPr>
                <w:rFonts w:ascii="Times New Roman" w:hAnsi="Times New Roman" w:cs="Times New Roman"/>
                <w:b/>
                <w:sz w:val="25"/>
                <w:szCs w:val="25"/>
                <w:u w:val="single"/>
              </w:rPr>
            </w:pPr>
          </w:p>
        </w:tc>
      </w:tr>
    </w:tbl>
    <w:p w:rsidR="00405FF9" w:rsidRPr="006A4B65" w:rsidRDefault="00405FF9" w:rsidP="00405FF9">
      <w:pPr>
        <w:pBdr>
          <w:bottom w:val="thickThinSmallGap" w:sz="24" w:space="1" w:color="auto"/>
        </w:pBdr>
        <w:rPr>
          <w:rFonts w:ascii="Times New Roman" w:hAnsi="Times New Roman" w:cs="Times New Roman"/>
          <w:b/>
          <w:sz w:val="24"/>
          <w:szCs w:val="24"/>
        </w:rPr>
      </w:pPr>
    </w:p>
    <w:p w:rsidR="00693DE5" w:rsidRPr="00B84E31" w:rsidRDefault="00693DE5" w:rsidP="00B84E31">
      <w:pPr>
        <w:spacing w:after="0"/>
        <w:contextualSpacing/>
        <w:jc w:val="center"/>
        <w:rPr>
          <w:rFonts w:ascii="Times New Roman" w:hAnsi="Times New Roman" w:cs="Times New Roman"/>
          <w:b/>
          <w:sz w:val="28"/>
          <w:szCs w:val="28"/>
        </w:rPr>
      </w:pPr>
      <w:r w:rsidRPr="00B84E31">
        <w:rPr>
          <w:rFonts w:ascii="Times New Roman" w:hAnsi="Times New Roman" w:cs="Times New Roman"/>
          <w:b/>
          <w:sz w:val="28"/>
          <w:szCs w:val="28"/>
        </w:rPr>
        <w:t>CONSTIT</w:t>
      </w:r>
      <w:r w:rsidR="006E26BC" w:rsidRPr="00B84E31">
        <w:rPr>
          <w:rFonts w:ascii="Times New Roman" w:hAnsi="Times New Roman" w:cs="Times New Roman"/>
          <w:b/>
          <w:sz w:val="28"/>
          <w:szCs w:val="28"/>
        </w:rPr>
        <w:t>U</w:t>
      </w:r>
      <w:r w:rsidRPr="00B84E31">
        <w:rPr>
          <w:rFonts w:ascii="Times New Roman" w:hAnsi="Times New Roman" w:cs="Times New Roman"/>
          <w:b/>
          <w:sz w:val="28"/>
          <w:szCs w:val="28"/>
        </w:rPr>
        <w:t>TIONAL VIOLATION</w:t>
      </w:r>
      <w:r w:rsidR="0014001A" w:rsidRPr="00B84E31">
        <w:rPr>
          <w:rFonts w:ascii="Times New Roman" w:hAnsi="Times New Roman" w:cs="Times New Roman"/>
          <w:b/>
          <w:sz w:val="28"/>
          <w:szCs w:val="28"/>
        </w:rPr>
        <w:t>S</w:t>
      </w:r>
      <w:r w:rsidRPr="00B84E31">
        <w:rPr>
          <w:rFonts w:ascii="Times New Roman" w:hAnsi="Times New Roman" w:cs="Times New Roman"/>
          <w:b/>
          <w:sz w:val="28"/>
          <w:szCs w:val="28"/>
        </w:rPr>
        <w:t xml:space="preserve"> BY STATE ACTORS</w:t>
      </w:r>
    </w:p>
    <w:p w:rsidR="00693DE5" w:rsidRPr="00B84E31" w:rsidRDefault="005034D2" w:rsidP="00B84E31">
      <w:pPr>
        <w:spacing w:after="0"/>
        <w:contextualSpacing/>
        <w:jc w:val="center"/>
        <w:rPr>
          <w:rFonts w:ascii="Times New Roman" w:hAnsi="Times New Roman" w:cs="Times New Roman"/>
          <w:b/>
          <w:sz w:val="28"/>
          <w:szCs w:val="28"/>
        </w:rPr>
      </w:pPr>
      <w:r w:rsidRPr="00B84E31">
        <w:rPr>
          <w:rFonts w:ascii="Times New Roman" w:hAnsi="Times New Roman" w:cs="Times New Roman"/>
          <w:b/>
          <w:sz w:val="28"/>
          <w:szCs w:val="28"/>
        </w:rPr>
        <w:t>IN THEIR PERSON</w:t>
      </w:r>
      <w:r w:rsidR="004815AE" w:rsidRPr="00B84E31">
        <w:rPr>
          <w:rFonts w:ascii="Times New Roman" w:hAnsi="Times New Roman" w:cs="Times New Roman"/>
          <w:b/>
          <w:sz w:val="28"/>
          <w:szCs w:val="28"/>
        </w:rPr>
        <w:t>AL</w:t>
      </w:r>
      <w:r w:rsidRPr="00B84E31">
        <w:rPr>
          <w:rFonts w:ascii="Times New Roman" w:hAnsi="Times New Roman" w:cs="Times New Roman"/>
          <w:b/>
          <w:sz w:val="28"/>
          <w:szCs w:val="28"/>
        </w:rPr>
        <w:t xml:space="preserve"> AND OFFICIAL CA</w:t>
      </w:r>
      <w:r w:rsidR="00693DE5" w:rsidRPr="00B84E31">
        <w:rPr>
          <w:rFonts w:ascii="Times New Roman" w:hAnsi="Times New Roman" w:cs="Times New Roman"/>
          <w:b/>
          <w:sz w:val="28"/>
          <w:szCs w:val="28"/>
        </w:rPr>
        <w:t>PACITIES</w:t>
      </w:r>
    </w:p>
    <w:p w:rsidR="00280C4A" w:rsidRDefault="00280C4A" w:rsidP="00C236B7">
      <w:pPr>
        <w:rPr>
          <w:rFonts w:ascii="Times New Roman" w:hAnsi="Times New Roman" w:cs="Times New Roman"/>
          <w:sz w:val="25"/>
          <w:szCs w:val="25"/>
        </w:rPr>
      </w:pPr>
    </w:p>
    <w:p w:rsidR="00525BC8" w:rsidRDefault="00280C4A" w:rsidP="00C236B7">
      <w:pPr>
        <w:rPr>
          <w:rFonts w:ascii="Times New Roman" w:hAnsi="Times New Roman" w:cs="Times New Roman"/>
          <w:sz w:val="25"/>
          <w:szCs w:val="25"/>
        </w:rPr>
      </w:pPr>
      <w:r>
        <w:rPr>
          <w:rFonts w:ascii="Times New Roman" w:hAnsi="Times New Roman" w:cs="Times New Roman"/>
          <w:sz w:val="25"/>
          <w:szCs w:val="25"/>
        </w:rPr>
        <w:t>Court and Case Number:_____________________________________</w:t>
      </w:r>
      <w:r w:rsidR="004663D2">
        <w:rPr>
          <w:rFonts w:ascii="Times New Roman" w:hAnsi="Times New Roman" w:cs="Times New Roman"/>
          <w:sz w:val="25"/>
          <w:szCs w:val="25"/>
        </w:rPr>
        <w:t>________</w:t>
      </w:r>
      <w:r>
        <w:rPr>
          <w:rFonts w:ascii="Times New Roman" w:hAnsi="Times New Roman" w:cs="Times New Roman"/>
          <w:sz w:val="25"/>
          <w:szCs w:val="25"/>
        </w:rPr>
        <w:t>________________</w:t>
      </w:r>
    </w:p>
    <w:p w:rsidR="00280C4A" w:rsidRPr="00280C4A" w:rsidRDefault="00525BC8" w:rsidP="00280C4A">
      <w:pPr>
        <w:spacing w:after="0" w:line="240" w:lineRule="auto"/>
        <w:rPr>
          <w:rFonts w:ascii="Times New Roman" w:hAnsi="Times New Roman" w:cs="Times New Roman"/>
          <w:b/>
          <w:sz w:val="25"/>
          <w:szCs w:val="25"/>
        </w:rPr>
      </w:pPr>
      <w:r w:rsidRPr="00280C4A">
        <w:rPr>
          <w:rFonts w:ascii="Times New Roman" w:hAnsi="Times New Roman" w:cs="Times New Roman"/>
          <w:b/>
          <w:sz w:val="25"/>
          <w:szCs w:val="25"/>
        </w:rPr>
        <w:t xml:space="preserve">To All: </w:t>
      </w:r>
    </w:p>
    <w:p w:rsidR="00525BC8" w:rsidRPr="00FC710C" w:rsidRDefault="00525BC8" w:rsidP="00280C4A">
      <w:pPr>
        <w:spacing w:after="0" w:line="240" w:lineRule="auto"/>
        <w:rPr>
          <w:rFonts w:ascii="Times New Roman" w:hAnsi="Times New Roman" w:cs="Times New Roman"/>
          <w:sz w:val="25"/>
          <w:szCs w:val="25"/>
        </w:rPr>
      </w:pPr>
      <w:r w:rsidRPr="00C86045">
        <w:rPr>
          <w:rFonts w:ascii="Times New Roman" w:hAnsi="Times New Roman" w:cs="Times New Roman"/>
          <w:b/>
          <w:i/>
          <w:sz w:val="25"/>
          <w:szCs w:val="25"/>
        </w:rPr>
        <w:t>I accept your Oath of Office</w:t>
      </w:r>
      <w:r w:rsidR="001E1268">
        <w:rPr>
          <w:rFonts w:ascii="Times New Roman" w:hAnsi="Times New Roman" w:cs="Times New Roman"/>
          <w:sz w:val="25"/>
          <w:szCs w:val="25"/>
        </w:rPr>
        <w:t>:</w:t>
      </w:r>
      <w:r w:rsidR="00405FF9" w:rsidRPr="00FC710C">
        <w:rPr>
          <w:rFonts w:ascii="Times New Roman" w:hAnsi="Times New Roman" w:cs="Times New Roman"/>
          <w:sz w:val="25"/>
          <w:szCs w:val="25"/>
        </w:rPr>
        <w:t xml:space="preserve"> </w:t>
      </w:r>
      <w:r w:rsidR="00682331" w:rsidRPr="004324CA">
        <w:rPr>
          <w:rFonts w:ascii="Times New Roman" w:hAnsi="Times New Roman" w:cs="Times New Roman"/>
          <w:color w:val="00B050"/>
          <w:sz w:val="25"/>
          <w:szCs w:val="25"/>
        </w:rPr>
        <w:t>[</w:t>
      </w:r>
      <w:r w:rsidR="00405FF9" w:rsidRPr="004324CA">
        <w:rPr>
          <w:rFonts w:ascii="Times New Roman" w:hAnsi="Times New Roman" w:cs="Times New Roman"/>
          <w:color w:val="00B050"/>
          <w:sz w:val="25"/>
          <w:szCs w:val="25"/>
        </w:rPr>
        <w:t>Pri</w:t>
      </w:r>
      <w:r w:rsidR="00682331" w:rsidRPr="004324CA">
        <w:rPr>
          <w:rFonts w:ascii="Times New Roman" w:hAnsi="Times New Roman" w:cs="Times New Roman"/>
          <w:color w:val="00B050"/>
          <w:sz w:val="25"/>
          <w:szCs w:val="25"/>
        </w:rPr>
        <w:t>nt Name(s)]</w:t>
      </w:r>
      <w:r w:rsidR="00682331" w:rsidRPr="00FC710C">
        <w:rPr>
          <w:rFonts w:ascii="Times New Roman" w:hAnsi="Times New Roman" w:cs="Times New Roman"/>
          <w:sz w:val="25"/>
          <w:szCs w:val="25"/>
        </w:rPr>
        <w:t>:</w:t>
      </w:r>
    </w:p>
    <w:p w:rsidR="00276704" w:rsidRPr="00FC710C" w:rsidRDefault="00276704" w:rsidP="00C236B7">
      <w:pPr>
        <w:rPr>
          <w:rFonts w:ascii="Times New Roman" w:hAnsi="Times New Roman" w:cs="Times New Roman"/>
          <w:sz w:val="25"/>
          <w:szCs w:val="25"/>
        </w:rPr>
      </w:pPr>
    </w:p>
    <w:p w:rsidR="00276704" w:rsidRPr="00FC710C" w:rsidRDefault="00276704" w:rsidP="00FC710C">
      <w:pPr>
        <w:pBdr>
          <w:top w:val="single" w:sz="12" w:space="1" w:color="auto"/>
          <w:bottom w:val="single" w:sz="12" w:space="1" w:color="auto"/>
        </w:pBdr>
        <w:spacing w:line="360" w:lineRule="auto"/>
        <w:rPr>
          <w:rFonts w:ascii="Times New Roman" w:hAnsi="Times New Roman" w:cs="Times New Roman"/>
          <w:sz w:val="25"/>
          <w:szCs w:val="25"/>
        </w:rPr>
      </w:pPr>
    </w:p>
    <w:p w:rsidR="0062456E" w:rsidRPr="00FC710C" w:rsidRDefault="0062456E" w:rsidP="00C236B7">
      <w:pPr>
        <w:pBdr>
          <w:bottom w:val="single" w:sz="12" w:space="1" w:color="auto"/>
          <w:between w:val="single" w:sz="12" w:space="1" w:color="auto"/>
        </w:pBdr>
        <w:rPr>
          <w:rFonts w:ascii="Times New Roman" w:hAnsi="Times New Roman" w:cs="Times New Roman"/>
          <w:sz w:val="25"/>
          <w:szCs w:val="25"/>
        </w:rPr>
      </w:pPr>
    </w:p>
    <w:p w:rsidR="00B2131D" w:rsidRDefault="00B2131D" w:rsidP="00B2131D">
      <w:pPr>
        <w:pBdr>
          <w:bottom w:val="double" w:sz="4" w:space="1" w:color="auto"/>
        </w:pBdr>
        <w:rPr>
          <w:rFonts w:ascii="Times New Roman" w:hAnsi="Times New Roman" w:cs="Times New Roman"/>
          <w:sz w:val="25"/>
          <w:szCs w:val="25"/>
        </w:rPr>
      </w:pPr>
    </w:p>
    <w:p w:rsidR="007241DC" w:rsidRPr="00FC710C" w:rsidRDefault="007241DC" w:rsidP="00C236B7">
      <w:pPr>
        <w:rPr>
          <w:rFonts w:ascii="Times New Roman" w:hAnsi="Times New Roman" w:cs="Times New Roman"/>
          <w:sz w:val="25"/>
          <w:szCs w:val="25"/>
        </w:rPr>
      </w:pPr>
      <w:r w:rsidRPr="00FC710C">
        <w:rPr>
          <w:rFonts w:ascii="Times New Roman" w:hAnsi="Times New Roman" w:cs="Times New Roman"/>
          <w:sz w:val="25"/>
          <w:szCs w:val="25"/>
        </w:rPr>
        <w:t>___________________________</w:t>
      </w:r>
      <w:r w:rsidR="00B260B9">
        <w:rPr>
          <w:rFonts w:ascii="Times New Roman" w:hAnsi="Times New Roman" w:cs="Times New Roman"/>
          <w:sz w:val="25"/>
          <w:szCs w:val="25"/>
        </w:rPr>
        <w:t>_____</w:t>
      </w:r>
      <w:r w:rsidRPr="00FC710C">
        <w:rPr>
          <w:rFonts w:ascii="Times New Roman" w:hAnsi="Times New Roman" w:cs="Times New Roman"/>
          <w:sz w:val="25"/>
          <w:szCs w:val="25"/>
        </w:rPr>
        <w:t>___</w:t>
      </w:r>
      <w:r w:rsidRPr="00FC710C">
        <w:rPr>
          <w:rFonts w:ascii="Times New Roman" w:hAnsi="Times New Roman" w:cs="Times New Roman"/>
          <w:b/>
          <w:i/>
          <w:sz w:val="25"/>
          <w:szCs w:val="25"/>
        </w:rPr>
        <w:t xml:space="preserve"> </w:t>
      </w:r>
      <w:r w:rsidR="00280C4A">
        <w:rPr>
          <w:rFonts w:ascii="Times New Roman" w:hAnsi="Times New Roman" w:cs="Times New Roman"/>
          <w:b/>
          <w:i/>
          <w:sz w:val="25"/>
          <w:szCs w:val="25"/>
        </w:rPr>
        <w:t>I</w:t>
      </w:r>
      <w:r w:rsidRPr="00FC710C">
        <w:rPr>
          <w:rFonts w:ascii="Times New Roman" w:hAnsi="Times New Roman" w:cs="Times New Roman"/>
          <w:b/>
          <w:i/>
          <w:sz w:val="25"/>
          <w:szCs w:val="25"/>
        </w:rPr>
        <w:t xml:space="preserve">n </w:t>
      </w:r>
      <w:proofErr w:type="spellStart"/>
      <w:r w:rsidRPr="00FC710C">
        <w:rPr>
          <w:rFonts w:ascii="Times New Roman" w:hAnsi="Times New Roman" w:cs="Times New Roman"/>
          <w:b/>
          <w:i/>
          <w:sz w:val="25"/>
          <w:szCs w:val="25"/>
        </w:rPr>
        <w:t>Propria</w:t>
      </w:r>
      <w:proofErr w:type="spellEnd"/>
      <w:r w:rsidRPr="00FC710C">
        <w:rPr>
          <w:rFonts w:ascii="Times New Roman" w:hAnsi="Times New Roman" w:cs="Times New Roman"/>
          <w:b/>
          <w:i/>
          <w:sz w:val="25"/>
          <w:szCs w:val="25"/>
        </w:rPr>
        <w:t xml:space="preserve"> Persona</w:t>
      </w:r>
      <w:r w:rsidRPr="00FC710C">
        <w:rPr>
          <w:rFonts w:ascii="Times New Roman" w:hAnsi="Times New Roman" w:cs="Times New Roman"/>
          <w:sz w:val="25"/>
          <w:szCs w:val="25"/>
        </w:rPr>
        <w:t>, who is wrongfully accused (hereinafter, “ACCUSED</w:t>
      </w:r>
      <w:r w:rsidR="00944F3C">
        <w:rPr>
          <w:rFonts w:ascii="Times New Roman" w:hAnsi="Times New Roman" w:cs="Times New Roman"/>
          <w:sz w:val="25"/>
          <w:szCs w:val="25"/>
        </w:rPr>
        <w:t>”</w:t>
      </w:r>
      <w:r w:rsidRPr="00FC710C">
        <w:rPr>
          <w:rFonts w:ascii="Times New Roman" w:hAnsi="Times New Roman" w:cs="Times New Roman"/>
          <w:sz w:val="25"/>
          <w:szCs w:val="25"/>
        </w:rPr>
        <w:t>)</w:t>
      </w:r>
      <w:r w:rsidR="00FC710C" w:rsidRPr="00FC710C">
        <w:rPr>
          <w:rFonts w:ascii="Times New Roman" w:hAnsi="Times New Roman" w:cs="Times New Roman"/>
          <w:sz w:val="25"/>
          <w:szCs w:val="25"/>
        </w:rPr>
        <w:t>; duly</w:t>
      </w:r>
      <w:r w:rsidRPr="00FC710C">
        <w:rPr>
          <w:rFonts w:ascii="Times New Roman" w:hAnsi="Times New Roman" w:cs="Times New Roman"/>
          <w:sz w:val="25"/>
          <w:szCs w:val="25"/>
        </w:rPr>
        <w:t xml:space="preserve"> </w:t>
      </w:r>
      <w:r w:rsidR="00FC710C">
        <w:rPr>
          <w:rFonts w:ascii="Times New Roman" w:hAnsi="Times New Roman" w:cs="Times New Roman"/>
          <w:sz w:val="25"/>
          <w:szCs w:val="25"/>
        </w:rPr>
        <w:t xml:space="preserve">sworn, </w:t>
      </w:r>
      <w:r w:rsidRPr="00FC710C">
        <w:rPr>
          <w:rFonts w:ascii="Times New Roman" w:hAnsi="Times New Roman" w:cs="Times New Roman"/>
          <w:sz w:val="25"/>
          <w:szCs w:val="25"/>
        </w:rPr>
        <w:t xml:space="preserve">deposes under penalty of perjury and says: </w:t>
      </w:r>
    </w:p>
    <w:p w:rsidR="00655227" w:rsidRDefault="00776253" w:rsidP="007160B7">
      <w:pPr>
        <w:pStyle w:val="ListParagraph"/>
        <w:spacing w:line="240" w:lineRule="auto"/>
        <w:ind w:left="0" w:firstLine="360"/>
        <w:rPr>
          <w:sz w:val="25"/>
          <w:szCs w:val="25"/>
        </w:rPr>
      </w:pPr>
      <w:r w:rsidRPr="007160B7">
        <w:rPr>
          <w:rFonts w:eastAsia="Calibri"/>
          <w:sz w:val="25"/>
          <w:szCs w:val="25"/>
        </w:rPr>
        <w:t>The</w:t>
      </w:r>
      <w:r w:rsidRPr="00FC710C">
        <w:rPr>
          <w:sz w:val="25"/>
          <w:szCs w:val="25"/>
        </w:rPr>
        <w:t xml:space="preserve"> </w:t>
      </w:r>
      <w:r w:rsidR="00655227" w:rsidRPr="00FC710C">
        <w:rPr>
          <w:sz w:val="25"/>
          <w:szCs w:val="25"/>
        </w:rPr>
        <w:t>ACCUSED</w:t>
      </w:r>
      <w:r w:rsidRPr="00FC710C">
        <w:rPr>
          <w:sz w:val="25"/>
          <w:szCs w:val="25"/>
        </w:rPr>
        <w:t xml:space="preserve"> suffered </w:t>
      </w:r>
      <w:r w:rsidR="00693DE5" w:rsidRPr="00FC710C">
        <w:rPr>
          <w:sz w:val="25"/>
          <w:szCs w:val="25"/>
        </w:rPr>
        <w:t xml:space="preserve">undue </w:t>
      </w:r>
      <w:r w:rsidRPr="00FC710C">
        <w:rPr>
          <w:sz w:val="25"/>
          <w:szCs w:val="25"/>
        </w:rPr>
        <w:t>prejudice due to the denial of</w:t>
      </w:r>
      <w:r w:rsidR="00655227" w:rsidRPr="00FC710C">
        <w:rPr>
          <w:sz w:val="25"/>
          <w:szCs w:val="25"/>
        </w:rPr>
        <w:t xml:space="preserve"> </w:t>
      </w:r>
      <w:r w:rsidR="00C236B7" w:rsidRPr="00FC710C">
        <w:rPr>
          <w:sz w:val="25"/>
          <w:szCs w:val="25"/>
        </w:rPr>
        <w:t>“</w:t>
      </w:r>
      <w:r w:rsidRPr="00FC710C">
        <w:rPr>
          <w:sz w:val="25"/>
          <w:szCs w:val="25"/>
        </w:rPr>
        <w:t>Access to the Courts</w:t>
      </w:r>
      <w:r w:rsidR="00C236B7" w:rsidRPr="00FC710C">
        <w:rPr>
          <w:sz w:val="25"/>
          <w:szCs w:val="25"/>
        </w:rPr>
        <w:t>”</w:t>
      </w:r>
      <w:r w:rsidRPr="00FC710C">
        <w:rPr>
          <w:sz w:val="25"/>
          <w:szCs w:val="25"/>
        </w:rPr>
        <w:t xml:space="preserve">, because </w:t>
      </w:r>
      <w:r w:rsidR="006E26BC" w:rsidRPr="00FC710C">
        <w:rPr>
          <w:sz w:val="25"/>
          <w:szCs w:val="25"/>
        </w:rPr>
        <w:t>his (</w:t>
      </w:r>
      <w:r w:rsidR="00693DE5" w:rsidRPr="00FC710C">
        <w:rPr>
          <w:sz w:val="25"/>
          <w:szCs w:val="25"/>
        </w:rPr>
        <w:t>her)</w:t>
      </w:r>
      <w:r w:rsidRPr="00FC710C">
        <w:rPr>
          <w:sz w:val="25"/>
          <w:szCs w:val="25"/>
        </w:rPr>
        <w:t xml:space="preserve"> </w:t>
      </w:r>
      <w:r w:rsidR="00655227" w:rsidRPr="00FC710C">
        <w:rPr>
          <w:sz w:val="25"/>
          <w:szCs w:val="25"/>
        </w:rPr>
        <w:t>paperwork</w:t>
      </w:r>
      <w:r w:rsidRPr="00FC710C">
        <w:rPr>
          <w:sz w:val="25"/>
          <w:szCs w:val="25"/>
        </w:rPr>
        <w:t xml:space="preserve"> was unjustly </w:t>
      </w:r>
      <w:r w:rsidR="00655227" w:rsidRPr="00FC710C">
        <w:rPr>
          <w:sz w:val="25"/>
          <w:szCs w:val="25"/>
        </w:rPr>
        <w:t>RETURNE</w:t>
      </w:r>
      <w:r w:rsidR="00BE5370">
        <w:rPr>
          <w:sz w:val="25"/>
          <w:szCs w:val="25"/>
        </w:rPr>
        <w:t>D and refused acceptance by t</w:t>
      </w:r>
      <w:r w:rsidR="00C236B7" w:rsidRPr="00FC710C">
        <w:rPr>
          <w:sz w:val="25"/>
          <w:szCs w:val="25"/>
        </w:rPr>
        <w:t>he</w:t>
      </w:r>
      <w:r w:rsidRPr="00FC710C">
        <w:rPr>
          <w:sz w:val="25"/>
          <w:szCs w:val="25"/>
        </w:rPr>
        <w:t xml:space="preserve"> </w:t>
      </w:r>
      <w:r w:rsidR="00655227" w:rsidRPr="00FC710C">
        <w:rPr>
          <w:sz w:val="25"/>
          <w:szCs w:val="25"/>
        </w:rPr>
        <w:t>Clerk</w:t>
      </w:r>
      <w:r w:rsidR="002E02D2" w:rsidRPr="00FC710C">
        <w:rPr>
          <w:sz w:val="25"/>
          <w:szCs w:val="25"/>
        </w:rPr>
        <w:t>(s)</w:t>
      </w:r>
      <w:r w:rsidR="00655227" w:rsidRPr="00FC710C">
        <w:rPr>
          <w:sz w:val="25"/>
          <w:szCs w:val="25"/>
        </w:rPr>
        <w:t xml:space="preserve"> and\or Staff</w:t>
      </w:r>
      <w:r w:rsidR="002E02D2" w:rsidRPr="00FC710C">
        <w:rPr>
          <w:sz w:val="25"/>
          <w:szCs w:val="25"/>
        </w:rPr>
        <w:t>(s)</w:t>
      </w:r>
      <w:r w:rsidR="00655227" w:rsidRPr="00FC710C">
        <w:rPr>
          <w:sz w:val="25"/>
          <w:szCs w:val="25"/>
        </w:rPr>
        <w:t xml:space="preserve"> </w:t>
      </w:r>
      <w:r w:rsidR="00C236B7" w:rsidRPr="00FC710C">
        <w:rPr>
          <w:sz w:val="25"/>
          <w:szCs w:val="25"/>
        </w:rPr>
        <w:t>of this</w:t>
      </w:r>
      <w:r w:rsidR="00693DE5" w:rsidRPr="00FC710C">
        <w:rPr>
          <w:sz w:val="25"/>
          <w:szCs w:val="25"/>
        </w:rPr>
        <w:t xml:space="preserve"> Court</w:t>
      </w:r>
      <w:r w:rsidR="002738F3">
        <w:rPr>
          <w:sz w:val="25"/>
          <w:szCs w:val="25"/>
        </w:rPr>
        <w:t xml:space="preserve"> whose names are listed</w:t>
      </w:r>
      <w:r w:rsidR="00BE5370">
        <w:rPr>
          <w:sz w:val="25"/>
          <w:szCs w:val="25"/>
        </w:rPr>
        <w:t xml:space="preserve"> </w:t>
      </w:r>
      <w:r w:rsidR="00280C4A">
        <w:rPr>
          <w:sz w:val="25"/>
          <w:szCs w:val="25"/>
        </w:rPr>
        <w:t>above</w:t>
      </w:r>
      <w:r w:rsidR="00BE5370">
        <w:rPr>
          <w:sz w:val="25"/>
          <w:szCs w:val="25"/>
        </w:rPr>
        <w:t>. Paperwork</w:t>
      </w:r>
      <w:r w:rsidRPr="00FC710C">
        <w:rPr>
          <w:sz w:val="25"/>
          <w:szCs w:val="25"/>
        </w:rPr>
        <w:t xml:space="preserve"> should have been </w:t>
      </w:r>
      <w:r w:rsidR="00655227" w:rsidRPr="00FC710C">
        <w:rPr>
          <w:sz w:val="25"/>
          <w:szCs w:val="25"/>
        </w:rPr>
        <w:t xml:space="preserve">accepted </w:t>
      </w:r>
      <w:r w:rsidR="00C236B7" w:rsidRPr="00FC710C">
        <w:rPr>
          <w:sz w:val="25"/>
          <w:szCs w:val="25"/>
        </w:rPr>
        <w:t xml:space="preserve">without questions </w:t>
      </w:r>
      <w:r w:rsidR="00655227" w:rsidRPr="00FC710C">
        <w:rPr>
          <w:sz w:val="25"/>
          <w:szCs w:val="25"/>
        </w:rPr>
        <w:t>and filed in the above action</w:t>
      </w:r>
      <w:r w:rsidRPr="00FC710C">
        <w:rPr>
          <w:sz w:val="25"/>
          <w:szCs w:val="25"/>
        </w:rPr>
        <w:t xml:space="preserve">, or either transferred to cure </w:t>
      </w:r>
      <w:r w:rsidR="00BE5370">
        <w:rPr>
          <w:sz w:val="25"/>
          <w:szCs w:val="25"/>
        </w:rPr>
        <w:t xml:space="preserve">for </w:t>
      </w:r>
      <w:r w:rsidRPr="00FC710C">
        <w:rPr>
          <w:sz w:val="25"/>
          <w:szCs w:val="25"/>
        </w:rPr>
        <w:t>the want of</w:t>
      </w:r>
      <w:r w:rsidR="00655227" w:rsidRPr="00FC710C">
        <w:rPr>
          <w:sz w:val="25"/>
          <w:szCs w:val="25"/>
        </w:rPr>
        <w:t xml:space="preserve"> </w:t>
      </w:r>
      <w:r w:rsidRPr="00FC710C">
        <w:rPr>
          <w:sz w:val="25"/>
          <w:szCs w:val="25"/>
        </w:rPr>
        <w:t xml:space="preserve">jurisdiction, in accordance with 28 U.S.C. Section 1631- </w:t>
      </w:r>
      <w:r w:rsidRPr="00602E46">
        <w:rPr>
          <w:i/>
          <w:sz w:val="25"/>
          <w:szCs w:val="25"/>
        </w:rPr>
        <w:t>Transfer to Cure Want of</w:t>
      </w:r>
      <w:r w:rsidR="00655227" w:rsidRPr="00602E46">
        <w:rPr>
          <w:i/>
          <w:sz w:val="25"/>
          <w:szCs w:val="25"/>
        </w:rPr>
        <w:t xml:space="preserve"> </w:t>
      </w:r>
      <w:r w:rsidR="002738F3" w:rsidRPr="00602E46">
        <w:rPr>
          <w:i/>
          <w:sz w:val="25"/>
          <w:szCs w:val="25"/>
        </w:rPr>
        <w:t>Jurisdiction</w:t>
      </w:r>
      <w:r w:rsidR="002738F3" w:rsidRPr="00116437">
        <w:rPr>
          <w:sz w:val="25"/>
          <w:szCs w:val="25"/>
        </w:rPr>
        <w:t xml:space="preserve"> [</w:t>
      </w:r>
      <w:r w:rsidR="00116437" w:rsidRPr="00116437">
        <w:rPr>
          <w:sz w:val="25"/>
          <w:szCs w:val="25"/>
        </w:rPr>
        <w:t>1]</w:t>
      </w:r>
      <w:r w:rsidRPr="00FC710C">
        <w:rPr>
          <w:sz w:val="25"/>
          <w:szCs w:val="25"/>
        </w:rPr>
        <w:t xml:space="preserve">. </w:t>
      </w:r>
    </w:p>
    <w:p w:rsidR="007160B7" w:rsidRPr="00FC710C" w:rsidRDefault="007160B7" w:rsidP="007160B7">
      <w:pPr>
        <w:pStyle w:val="ListParagraph"/>
        <w:tabs>
          <w:tab w:val="left" w:pos="1334"/>
        </w:tabs>
        <w:spacing w:line="240" w:lineRule="auto"/>
        <w:ind w:left="0" w:firstLine="360"/>
        <w:rPr>
          <w:sz w:val="25"/>
          <w:szCs w:val="25"/>
        </w:rPr>
      </w:pPr>
      <w:r>
        <w:rPr>
          <w:sz w:val="25"/>
          <w:szCs w:val="25"/>
        </w:rPr>
        <w:tab/>
      </w:r>
    </w:p>
    <w:p w:rsidR="00F02BFB" w:rsidRDefault="00F02BFB" w:rsidP="007160B7">
      <w:pPr>
        <w:pStyle w:val="ListParagraph"/>
        <w:spacing w:line="240" w:lineRule="auto"/>
        <w:ind w:left="0" w:firstLine="360"/>
        <w:rPr>
          <w:rFonts w:eastAsia="Calibri"/>
          <w:sz w:val="25"/>
          <w:szCs w:val="25"/>
        </w:rPr>
      </w:pPr>
      <w:r w:rsidRPr="00FC710C">
        <w:rPr>
          <w:rFonts w:eastAsia="Calibri"/>
          <w:sz w:val="25"/>
          <w:szCs w:val="25"/>
        </w:rPr>
        <w:t>It is a fundamental doctrine of law that a party</w:t>
      </w:r>
      <w:r w:rsidR="00796764" w:rsidRPr="00FC710C">
        <w:rPr>
          <w:rFonts w:eastAsia="Calibri"/>
          <w:sz w:val="25"/>
          <w:szCs w:val="25"/>
        </w:rPr>
        <w:t>,</w:t>
      </w:r>
      <w:r w:rsidRPr="00FC710C">
        <w:rPr>
          <w:rFonts w:eastAsia="Calibri"/>
          <w:sz w:val="25"/>
          <w:szCs w:val="25"/>
        </w:rPr>
        <w:t xml:space="preserve"> to be affected by a personal judgment</w:t>
      </w:r>
      <w:r w:rsidR="00796764" w:rsidRPr="00FC710C">
        <w:rPr>
          <w:rFonts w:eastAsia="Calibri"/>
          <w:sz w:val="25"/>
          <w:szCs w:val="25"/>
        </w:rPr>
        <w:t>,</w:t>
      </w:r>
      <w:r w:rsidRPr="00FC710C">
        <w:rPr>
          <w:rFonts w:eastAsia="Calibri"/>
          <w:sz w:val="25"/>
          <w:szCs w:val="25"/>
        </w:rPr>
        <w:t xml:space="preserve"> </w:t>
      </w:r>
      <w:r w:rsidR="002E02D2" w:rsidRPr="00FC710C">
        <w:rPr>
          <w:rFonts w:eastAsia="Calibri"/>
          <w:sz w:val="25"/>
          <w:szCs w:val="25"/>
        </w:rPr>
        <w:t xml:space="preserve">he </w:t>
      </w:r>
      <w:r w:rsidRPr="00FC710C">
        <w:rPr>
          <w:rFonts w:eastAsia="Calibri"/>
          <w:sz w:val="25"/>
          <w:szCs w:val="25"/>
        </w:rPr>
        <w:t>must have his day in court, and an opportunity to be heard. See, Renaud v. Abbott, 116, US 277, 29 L Ed 629, 6 S Ct 1194.</w:t>
      </w:r>
      <w:r w:rsidR="002E02D2" w:rsidRPr="00FC710C">
        <w:rPr>
          <w:rFonts w:eastAsia="Calibri"/>
          <w:sz w:val="25"/>
          <w:szCs w:val="25"/>
        </w:rPr>
        <w:t xml:space="preserve"> </w:t>
      </w:r>
      <w:r w:rsidR="005034D2" w:rsidRPr="00FC710C">
        <w:rPr>
          <w:rFonts w:eastAsia="Calibri"/>
          <w:sz w:val="25"/>
          <w:szCs w:val="25"/>
        </w:rPr>
        <w:t>Without An Opportunity to b</w:t>
      </w:r>
      <w:r w:rsidR="005620DD" w:rsidRPr="00FC710C">
        <w:rPr>
          <w:rFonts w:eastAsia="Calibri"/>
          <w:sz w:val="25"/>
          <w:szCs w:val="25"/>
        </w:rPr>
        <w:t>e h</w:t>
      </w:r>
      <w:r w:rsidRPr="00FC710C">
        <w:rPr>
          <w:rFonts w:eastAsia="Calibri"/>
          <w:sz w:val="25"/>
          <w:szCs w:val="25"/>
        </w:rPr>
        <w:t xml:space="preserve">eard </w:t>
      </w:r>
      <w:r w:rsidR="00C43F13" w:rsidRPr="00FC710C">
        <w:rPr>
          <w:rFonts w:eastAsia="Calibri"/>
          <w:sz w:val="25"/>
          <w:szCs w:val="25"/>
        </w:rPr>
        <w:t>the</w:t>
      </w:r>
      <w:r w:rsidR="00C236B7" w:rsidRPr="00FC710C">
        <w:rPr>
          <w:rFonts w:eastAsia="Calibri"/>
          <w:sz w:val="25"/>
          <w:szCs w:val="25"/>
        </w:rPr>
        <w:t>n</w:t>
      </w:r>
      <w:r w:rsidR="00C43F13" w:rsidRPr="00FC710C">
        <w:rPr>
          <w:rFonts w:eastAsia="Calibri"/>
          <w:sz w:val="25"/>
          <w:szCs w:val="25"/>
        </w:rPr>
        <w:t xml:space="preserve"> ALL </w:t>
      </w:r>
      <w:r w:rsidR="005620DD" w:rsidRPr="00FC710C">
        <w:rPr>
          <w:rFonts w:eastAsia="Calibri"/>
          <w:sz w:val="25"/>
          <w:szCs w:val="25"/>
        </w:rPr>
        <w:t>Orders and</w:t>
      </w:r>
      <w:r w:rsidRPr="00FC710C">
        <w:rPr>
          <w:rFonts w:eastAsia="Calibri"/>
          <w:sz w:val="25"/>
          <w:szCs w:val="25"/>
        </w:rPr>
        <w:t xml:space="preserve"> Decisions </w:t>
      </w:r>
      <w:r w:rsidR="00693DE5" w:rsidRPr="00FC710C">
        <w:rPr>
          <w:rFonts w:eastAsia="Calibri"/>
          <w:sz w:val="25"/>
          <w:szCs w:val="25"/>
        </w:rPr>
        <w:t>are</w:t>
      </w:r>
      <w:r w:rsidRPr="00FC710C">
        <w:rPr>
          <w:rFonts w:eastAsia="Calibri"/>
          <w:sz w:val="25"/>
          <w:szCs w:val="25"/>
        </w:rPr>
        <w:t xml:space="preserve"> Void</w:t>
      </w:r>
      <w:r w:rsidR="002E02D2" w:rsidRPr="00FC710C">
        <w:rPr>
          <w:rFonts w:eastAsia="Calibri"/>
          <w:sz w:val="25"/>
          <w:szCs w:val="25"/>
        </w:rPr>
        <w:t xml:space="preserve"> </w:t>
      </w:r>
      <w:r w:rsidR="002E02D2" w:rsidRPr="00FC710C">
        <w:rPr>
          <w:rFonts w:eastAsia="Calibri"/>
          <w:b/>
          <w:i/>
          <w:sz w:val="25"/>
          <w:szCs w:val="25"/>
          <w:u w:val="single"/>
        </w:rPr>
        <w:t>Ab Initio</w:t>
      </w:r>
      <w:r w:rsidR="002E02D2" w:rsidRPr="00FC710C">
        <w:rPr>
          <w:rFonts w:eastAsia="Calibri"/>
          <w:sz w:val="25"/>
          <w:szCs w:val="25"/>
        </w:rPr>
        <w:t>.</w:t>
      </w:r>
    </w:p>
    <w:p w:rsidR="00610F31" w:rsidRPr="00FC710C" w:rsidRDefault="00610F31" w:rsidP="007160B7">
      <w:pPr>
        <w:pStyle w:val="ListParagraph"/>
        <w:spacing w:line="240" w:lineRule="auto"/>
        <w:ind w:left="0" w:firstLine="360"/>
        <w:rPr>
          <w:rFonts w:eastAsia="Calibri"/>
          <w:sz w:val="25"/>
          <w:szCs w:val="25"/>
        </w:rPr>
      </w:pPr>
    </w:p>
    <w:p w:rsidR="00F02BFB" w:rsidRDefault="00F02BFB" w:rsidP="007160B7">
      <w:pPr>
        <w:pStyle w:val="ListParagraph"/>
        <w:spacing w:line="240" w:lineRule="auto"/>
        <w:ind w:left="0" w:firstLine="360"/>
        <w:rPr>
          <w:rFonts w:eastAsia="Calibri"/>
          <w:sz w:val="25"/>
          <w:szCs w:val="25"/>
        </w:rPr>
      </w:pPr>
      <w:r w:rsidRPr="00FC710C">
        <w:rPr>
          <w:rFonts w:eastAsia="Calibri"/>
          <w:sz w:val="25"/>
          <w:szCs w:val="25"/>
        </w:rPr>
        <w:t>The Supremacy Clause establishes that the</w:t>
      </w:r>
      <w:r w:rsidR="00C43F13" w:rsidRPr="00FC710C">
        <w:rPr>
          <w:rFonts w:eastAsia="Calibri"/>
          <w:sz w:val="25"/>
          <w:szCs w:val="25"/>
        </w:rPr>
        <w:t xml:space="preserve"> federal constitution and laws</w:t>
      </w:r>
      <w:r w:rsidRPr="00FC710C">
        <w:rPr>
          <w:rFonts w:eastAsia="Calibri"/>
          <w:sz w:val="25"/>
          <w:szCs w:val="25"/>
        </w:rPr>
        <w:t xml:space="preserve"> generally, take precedence</w:t>
      </w:r>
      <w:r w:rsidR="004815AE">
        <w:rPr>
          <w:rFonts w:eastAsia="Calibri"/>
          <w:sz w:val="25"/>
          <w:szCs w:val="25"/>
        </w:rPr>
        <w:t xml:space="preserve"> over state laws, and even State</w:t>
      </w:r>
      <w:r w:rsidRPr="00FC710C">
        <w:rPr>
          <w:rFonts w:eastAsia="Calibri"/>
          <w:sz w:val="25"/>
          <w:szCs w:val="25"/>
        </w:rPr>
        <w:t xml:space="preserve"> constitutions. It prohibits </w:t>
      </w:r>
      <w:r w:rsidR="004815AE">
        <w:rPr>
          <w:rFonts w:eastAsia="Calibri"/>
          <w:sz w:val="25"/>
          <w:szCs w:val="25"/>
        </w:rPr>
        <w:t>States</w:t>
      </w:r>
      <w:r w:rsidRPr="00FC710C">
        <w:rPr>
          <w:rFonts w:eastAsia="Calibri"/>
          <w:sz w:val="25"/>
          <w:szCs w:val="25"/>
        </w:rPr>
        <w:t xml:space="preserve"> from interfering with the </w:t>
      </w:r>
      <w:r w:rsidR="005034D2" w:rsidRPr="00FC710C">
        <w:rPr>
          <w:rFonts w:eastAsia="Calibri"/>
          <w:sz w:val="25"/>
          <w:szCs w:val="25"/>
        </w:rPr>
        <w:lastRenderedPageBreak/>
        <w:t xml:space="preserve">RIGHTS of the ACCUSED and the inalienable </w:t>
      </w:r>
      <w:r w:rsidRPr="00FC710C">
        <w:rPr>
          <w:rFonts w:eastAsia="Calibri"/>
          <w:sz w:val="25"/>
          <w:szCs w:val="25"/>
        </w:rPr>
        <w:t xml:space="preserve">exercise of </w:t>
      </w:r>
      <w:r w:rsidR="005034D2" w:rsidRPr="00FC710C">
        <w:rPr>
          <w:rFonts w:eastAsia="Calibri"/>
          <w:sz w:val="25"/>
          <w:szCs w:val="25"/>
        </w:rPr>
        <w:t xml:space="preserve">his (her) constitutional powers </w:t>
      </w:r>
      <w:r w:rsidR="00C43F13" w:rsidRPr="00FC710C">
        <w:rPr>
          <w:rFonts w:eastAsia="Calibri"/>
          <w:sz w:val="25"/>
          <w:szCs w:val="25"/>
        </w:rPr>
        <w:t xml:space="preserve">that are </w:t>
      </w:r>
      <w:r w:rsidR="005034D2" w:rsidRPr="00FC710C">
        <w:rPr>
          <w:rFonts w:eastAsia="Calibri"/>
          <w:sz w:val="25"/>
          <w:szCs w:val="25"/>
        </w:rPr>
        <w:t xml:space="preserve">entrusted </w:t>
      </w:r>
      <w:r w:rsidR="008E5C71">
        <w:rPr>
          <w:rFonts w:eastAsia="Calibri"/>
          <w:sz w:val="25"/>
          <w:szCs w:val="25"/>
        </w:rPr>
        <w:t xml:space="preserve">to him </w:t>
      </w:r>
      <w:r w:rsidR="005034D2" w:rsidRPr="00FC710C">
        <w:rPr>
          <w:rFonts w:eastAsia="Calibri"/>
          <w:sz w:val="25"/>
          <w:szCs w:val="25"/>
        </w:rPr>
        <w:t>exclusively</w:t>
      </w:r>
      <w:r w:rsidRPr="00FC710C">
        <w:rPr>
          <w:rFonts w:eastAsia="Calibri"/>
          <w:sz w:val="25"/>
          <w:szCs w:val="25"/>
        </w:rPr>
        <w:t>.</w:t>
      </w:r>
    </w:p>
    <w:p w:rsidR="004663D2" w:rsidRPr="00FC710C" w:rsidRDefault="004663D2" w:rsidP="007160B7">
      <w:pPr>
        <w:pStyle w:val="ListParagraph"/>
        <w:spacing w:line="240" w:lineRule="auto"/>
        <w:ind w:left="0" w:firstLine="360"/>
        <w:rPr>
          <w:rFonts w:eastAsia="Calibri"/>
          <w:sz w:val="25"/>
          <w:szCs w:val="25"/>
        </w:rPr>
      </w:pPr>
    </w:p>
    <w:p w:rsidR="00F02BFB" w:rsidRPr="00FC710C" w:rsidRDefault="00F02BFB" w:rsidP="007160B7">
      <w:pPr>
        <w:pStyle w:val="ListParagraph"/>
        <w:spacing w:line="240" w:lineRule="auto"/>
        <w:ind w:left="0" w:firstLine="360"/>
        <w:rPr>
          <w:rFonts w:eastAsia="Calibri"/>
          <w:sz w:val="25"/>
          <w:szCs w:val="25"/>
        </w:rPr>
      </w:pPr>
      <w:r w:rsidRPr="00FC710C">
        <w:rPr>
          <w:rFonts w:eastAsia="Calibri"/>
          <w:sz w:val="25"/>
          <w:szCs w:val="25"/>
        </w:rPr>
        <w:t>A judgment of a court without hearing the party or giving him an opportunity to be heard is not a judicial determination of his rights</w:t>
      </w:r>
      <w:r w:rsidR="008E5C71">
        <w:rPr>
          <w:rFonts w:eastAsia="Calibri"/>
          <w:sz w:val="25"/>
          <w:szCs w:val="25"/>
        </w:rPr>
        <w:t xml:space="preserve"> </w:t>
      </w:r>
      <w:r w:rsidR="008E5C71" w:rsidRPr="00FC710C">
        <w:rPr>
          <w:rFonts w:eastAsia="Calibri"/>
          <w:sz w:val="25"/>
          <w:szCs w:val="25"/>
        </w:rPr>
        <w:t>and is not entitled to respect in any other tribunal</w:t>
      </w:r>
      <w:r w:rsidRPr="00FC710C">
        <w:rPr>
          <w:rFonts w:eastAsia="Calibri"/>
          <w:sz w:val="25"/>
          <w:szCs w:val="25"/>
        </w:rPr>
        <w:t>. See, Sabariego v</w:t>
      </w:r>
      <w:r w:rsidR="008E5C71">
        <w:rPr>
          <w:rFonts w:eastAsia="Calibri"/>
          <w:sz w:val="25"/>
          <w:szCs w:val="25"/>
        </w:rPr>
        <w:t>s</w:t>
      </w:r>
      <w:r w:rsidR="00807B3B">
        <w:rPr>
          <w:rFonts w:eastAsia="Calibri"/>
          <w:sz w:val="25"/>
          <w:szCs w:val="25"/>
        </w:rPr>
        <w:t>.</w:t>
      </w:r>
      <w:r w:rsidRPr="00FC710C">
        <w:rPr>
          <w:rFonts w:eastAsia="Calibri"/>
          <w:sz w:val="25"/>
          <w:szCs w:val="25"/>
        </w:rPr>
        <w:t xml:space="preserve"> Maverick, 124 US, 261, 31 L Ed 430, 8 S Ct 461.</w:t>
      </w:r>
    </w:p>
    <w:p w:rsidR="004663D2" w:rsidRDefault="004663D2" w:rsidP="007160B7">
      <w:pPr>
        <w:pStyle w:val="ListParagraph"/>
        <w:spacing w:line="240" w:lineRule="auto"/>
        <w:ind w:left="0" w:firstLine="360"/>
        <w:rPr>
          <w:rFonts w:eastAsia="Calibri"/>
          <w:sz w:val="25"/>
          <w:szCs w:val="25"/>
        </w:rPr>
      </w:pPr>
    </w:p>
    <w:p w:rsidR="00F02BFB" w:rsidRPr="007160B7" w:rsidRDefault="00F02BFB" w:rsidP="007160B7">
      <w:pPr>
        <w:pStyle w:val="ListParagraph"/>
        <w:spacing w:line="240" w:lineRule="auto"/>
        <w:ind w:left="0" w:firstLine="360"/>
        <w:rPr>
          <w:rFonts w:eastAsia="Calibri"/>
          <w:sz w:val="25"/>
          <w:szCs w:val="25"/>
        </w:rPr>
      </w:pPr>
      <w:r w:rsidRPr="007160B7">
        <w:rPr>
          <w:rFonts w:eastAsia="Calibri"/>
          <w:sz w:val="25"/>
          <w:szCs w:val="25"/>
        </w:rPr>
        <w:t xml:space="preserve">A </w:t>
      </w:r>
      <w:r w:rsidR="00C2647E" w:rsidRPr="00C2647E">
        <w:rPr>
          <w:rFonts w:eastAsia="Calibri"/>
          <w:b/>
          <w:sz w:val="25"/>
          <w:szCs w:val="25"/>
        </w:rPr>
        <w:t>VOID</w:t>
      </w:r>
      <w:r w:rsidRPr="007160B7">
        <w:rPr>
          <w:rFonts w:eastAsia="Calibri"/>
          <w:sz w:val="25"/>
          <w:szCs w:val="25"/>
        </w:rPr>
        <w:t xml:space="preserve"> judgment is not entitled to the respect accorded a valid adjudication, but may be entirely disregarded, or declared inoperative by any tribunal in which effect is sought to be given to it.</w:t>
      </w:r>
    </w:p>
    <w:p w:rsidR="00655227" w:rsidRPr="007160B7" w:rsidRDefault="00776253" w:rsidP="007160B7">
      <w:pPr>
        <w:pStyle w:val="ListParagraph"/>
        <w:spacing w:line="240" w:lineRule="auto"/>
        <w:ind w:left="0" w:firstLine="360"/>
        <w:rPr>
          <w:rFonts w:eastAsia="Calibri"/>
          <w:sz w:val="25"/>
          <w:szCs w:val="25"/>
        </w:rPr>
      </w:pPr>
      <w:r w:rsidRPr="007160B7">
        <w:rPr>
          <w:rFonts w:eastAsia="Calibri"/>
          <w:sz w:val="25"/>
          <w:szCs w:val="25"/>
        </w:rPr>
        <w:t xml:space="preserve">The </w:t>
      </w:r>
      <w:r w:rsidR="00655227" w:rsidRPr="007160B7">
        <w:rPr>
          <w:rFonts w:eastAsia="Calibri"/>
          <w:sz w:val="25"/>
          <w:szCs w:val="25"/>
        </w:rPr>
        <w:t>ACCUSED</w:t>
      </w:r>
      <w:r w:rsidRPr="007160B7">
        <w:rPr>
          <w:rFonts w:eastAsia="Calibri"/>
          <w:sz w:val="25"/>
          <w:szCs w:val="25"/>
        </w:rPr>
        <w:t xml:space="preserve"> had no chance of</w:t>
      </w:r>
      <w:r w:rsidR="00655227" w:rsidRPr="007160B7">
        <w:rPr>
          <w:rFonts w:eastAsia="Calibri"/>
          <w:sz w:val="25"/>
          <w:szCs w:val="25"/>
        </w:rPr>
        <w:t xml:space="preserve"> </w:t>
      </w:r>
      <w:r w:rsidRPr="007160B7">
        <w:rPr>
          <w:rFonts w:eastAsia="Calibri"/>
          <w:sz w:val="25"/>
          <w:szCs w:val="25"/>
        </w:rPr>
        <w:t xml:space="preserve">winning his </w:t>
      </w:r>
      <w:r w:rsidR="00655227" w:rsidRPr="007160B7">
        <w:rPr>
          <w:rFonts w:eastAsia="Calibri"/>
          <w:sz w:val="25"/>
          <w:szCs w:val="25"/>
        </w:rPr>
        <w:t>case, because the C</w:t>
      </w:r>
      <w:r w:rsidR="008E5C71" w:rsidRPr="007160B7">
        <w:rPr>
          <w:rFonts w:eastAsia="Calibri"/>
          <w:sz w:val="25"/>
          <w:szCs w:val="25"/>
        </w:rPr>
        <w:t>lerk(s) listed in the above</w:t>
      </w:r>
      <w:r w:rsidRPr="007160B7">
        <w:rPr>
          <w:rFonts w:eastAsia="Calibri"/>
          <w:sz w:val="25"/>
          <w:szCs w:val="25"/>
        </w:rPr>
        <w:t xml:space="preserve"> completely ignored </w:t>
      </w:r>
      <w:r w:rsidR="00655227" w:rsidRPr="007160B7">
        <w:rPr>
          <w:rFonts w:eastAsia="Calibri"/>
          <w:sz w:val="25"/>
          <w:szCs w:val="25"/>
        </w:rPr>
        <w:t xml:space="preserve">well-established written </w:t>
      </w:r>
      <w:r w:rsidR="004815AE" w:rsidRPr="007160B7">
        <w:rPr>
          <w:rFonts w:eastAsia="Calibri"/>
          <w:sz w:val="25"/>
          <w:szCs w:val="25"/>
        </w:rPr>
        <w:t>Federal</w:t>
      </w:r>
      <w:r w:rsidR="002269EF" w:rsidRPr="007160B7">
        <w:rPr>
          <w:rFonts w:eastAsia="Calibri"/>
          <w:sz w:val="25"/>
          <w:szCs w:val="25"/>
        </w:rPr>
        <w:t xml:space="preserve"> </w:t>
      </w:r>
      <w:r w:rsidR="004815AE" w:rsidRPr="007160B7">
        <w:rPr>
          <w:rFonts w:eastAsia="Calibri"/>
          <w:sz w:val="25"/>
          <w:szCs w:val="25"/>
        </w:rPr>
        <w:t>and State</w:t>
      </w:r>
      <w:r w:rsidR="00655227" w:rsidRPr="007160B7">
        <w:rPr>
          <w:rFonts w:eastAsia="Calibri"/>
          <w:sz w:val="25"/>
          <w:szCs w:val="25"/>
        </w:rPr>
        <w:t xml:space="preserve"> </w:t>
      </w:r>
      <w:r w:rsidRPr="007160B7">
        <w:rPr>
          <w:rFonts w:eastAsia="Calibri"/>
          <w:sz w:val="25"/>
          <w:szCs w:val="25"/>
        </w:rPr>
        <w:t xml:space="preserve">laws, which effectively denied the </w:t>
      </w:r>
      <w:r w:rsidR="002269EF" w:rsidRPr="007160B7">
        <w:rPr>
          <w:rFonts w:eastAsia="Calibri"/>
          <w:sz w:val="25"/>
          <w:szCs w:val="25"/>
        </w:rPr>
        <w:t>ACCUSED</w:t>
      </w:r>
      <w:r w:rsidRPr="007160B7">
        <w:rPr>
          <w:rFonts w:eastAsia="Calibri"/>
          <w:sz w:val="25"/>
          <w:szCs w:val="25"/>
        </w:rPr>
        <w:t>, “Access to the Courts,” in violation of</w:t>
      </w:r>
      <w:r w:rsidR="00655227" w:rsidRPr="007160B7">
        <w:rPr>
          <w:rFonts w:eastAsia="Calibri"/>
          <w:sz w:val="25"/>
          <w:szCs w:val="25"/>
        </w:rPr>
        <w:t xml:space="preserve"> the First</w:t>
      </w:r>
      <w:r w:rsidRPr="007160B7">
        <w:rPr>
          <w:rFonts w:eastAsia="Calibri"/>
          <w:sz w:val="25"/>
          <w:szCs w:val="25"/>
        </w:rPr>
        <w:t xml:space="preserve">, </w:t>
      </w:r>
      <w:r w:rsidR="004815AE" w:rsidRPr="007160B7">
        <w:rPr>
          <w:rFonts w:eastAsia="Calibri"/>
          <w:sz w:val="25"/>
          <w:szCs w:val="25"/>
        </w:rPr>
        <w:t xml:space="preserve">Fourth, </w:t>
      </w:r>
      <w:r w:rsidR="00655227" w:rsidRPr="007160B7">
        <w:rPr>
          <w:rFonts w:eastAsia="Calibri"/>
          <w:sz w:val="25"/>
          <w:szCs w:val="25"/>
        </w:rPr>
        <w:t>Fifth</w:t>
      </w:r>
      <w:r w:rsidRPr="007160B7">
        <w:rPr>
          <w:rFonts w:eastAsia="Calibri"/>
          <w:sz w:val="25"/>
          <w:szCs w:val="25"/>
        </w:rPr>
        <w:t xml:space="preserve">, and </w:t>
      </w:r>
      <w:r w:rsidR="00655227" w:rsidRPr="007160B7">
        <w:rPr>
          <w:rFonts w:eastAsia="Calibri"/>
          <w:sz w:val="25"/>
          <w:szCs w:val="25"/>
        </w:rPr>
        <w:t>Fourteenth</w:t>
      </w:r>
      <w:r w:rsidRPr="007160B7">
        <w:rPr>
          <w:rFonts w:eastAsia="Calibri"/>
          <w:sz w:val="25"/>
          <w:szCs w:val="25"/>
        </w:rPr>
        <w:t xml:space="preserve"> Amendments of</w:t>
      </w:r>
      <w:r w:rsidR="00655227" w:rsidRPr="007160B7">
        <w:rPr>
          <w:rFonts w:eastAsia="Calibri"/>
          <w:sz w:val="25"/>
          <w:szCs w:val="25"/>
        </w:rPr>
        <w:t xml:space="preserve"> </w:t>
      </w:r>
      <w:r w:rsidRPr="007160B7">
        <w:rPr>
          <w:rFonts w:eastAsia="Calibri"/>
          <w:sz w:val="25"/>
          <w:szCs w:val="25"/>
        </w:rPr>
        <w:t xml:space="preserve">the </w:t>
      </w:r>
      <w:r w:rsidR="00C43F13" w:rsidRPr="007160B7">
        <w:rPr>
          <w:rFonts w:eastAsia="Calibri"/>
          <w:sz w:val="25"/>
          <w:szCs w:val="25"/>
        </w:rPr>
        <w:t xml:space="preserve">Constitution of the </w:t>
      </w:r>
      <w:r w:rsidRPr="007160B7">
        <w:rPr>
          <w:rFonts w:eastAsia="Calibri"/>
          <w:sz w:val="25"/>
          <w:szCs w:val="25"/>
        </w:rPr>
        <w:t>U</w:t>
      </w:r>
      <w:r w:rsidR="00C43F13" w:rsidRPr="007160B7">
        <w:rPr>
          <w:rFonts w:eastAsia="Calibri"/>
          <w:sz w:val="25"/>
          <w:szCs w:val="25"/>
        </w:rPr>
        <w:t>nited S</w:t>
      </w:r>
      <w:r w:rsidR="008E5C71" w:rsidRPr="007160B7">
        <w:rPr>
          <w:rFonts w:eastAsia="Calibri"/>
          <w:sz w:val="25"/>
          <w:szCs w:val="25"/>
        </w:rPr>
        <w:t>tates</w:t>
      </w:r>
      <w:r w:rsidRPr="007160B7">
        <w:rPr>
          <w:rFonts w:eastAsia="Calibri"/>
          <w:sz w:val="25"/>
          <w:szCs w:val="25"/>
        </w:rPr>
        <w:t xml:space="preserve">. </w:t>
      </w:r>
    </w:p>
    <w:p w:rsidR="004663D2" w:rsidRDefault="004663D2" w:rsidP="007160B7">
      <w:pPr>
        <w:pStyle w:val="ListParagraph"/>
        <w:spacing w:line="240" w:lineRule="auto"/>
        <w:ind w:left="0" w:firstLine="360"/>
        <w:rPr>
          <w:rFonts w:eastAsia="Calibri"/>
          <w:sz w:val="25"/>
          <w:szCs w:val="25"/>
        </w:rPr>
      </w:pPr>
    </w:p>
    <w:p w:rsidR="008E421D" w:rsidRPr="007160B7" w:rsidRDefault="00776253" w:rsidP="007160B7">
      <w:pPr>
        <w:pStyle w:val="ListParagraph"/>
        <w:spacing w:line="240" w:lineRule="auto"/>
        <w:ind w:left="0" w:firstLine="360"/>
        <w:rPr>
          <w:rFonts w:eastAsia="Calibri"/>
          <w:sz w:val="25"/>
          <w:szCs w:val="25"/>
        </w:rPr>
      </w:pPr>
      <w:r w:rsidRPr="007160B7">
        <w:rPr>
          <w:rFonts w:eastAsia="Calibri"/>
          <w:sz w:val="25"/>
          <w:szCs w:val="25"/>
        </w:rPr>
        <w:t>A reasonable probability exists, that if</w:t>
      </w:r>
      <w:r w:rsidR="00655227" w:rsidRPr="007160B7">
        <w:rPr>
          <w:rFonts w:eastAsia="Calibri"/>
          <w:sz w:val="25"/>
          <w:szCs w:val="25"/>
        </w:rPr>
        <w:t xml:space="preserve"> </w:t>
      </w:r>
      <w:r w:rsidRPr="007160B7">
        <w:rPr>
          <w:rFonts w:eastAsia="Calibri"/>
          <w:sz w:val="25"/>
          <w:szCs w:val="25"/>
        </w:rPr>
        <w:t xml:space="preserve">the </w:t>
      </w:r>
      <w:r w:rsidR="00655227" w:rsidRPr="007160B7">
        <w:rPr>
          <w:rFonts w:eastAsia="Calibri"/>
          <w:sz w:val="25"/>
          <w:szCs w:val="25"/>
        </w:rPr>
        <w:t>Clerk(s)</w:t>
      </w:r>
      <w:r w:rsidRPr="007160B7">
        <w:rPr>
          <w:rFonts w:eastAsia="Calibri"/>
          <w:sz w:val="25"/>
          <w:szCs w:val="25"/>
        </w:rPr>
        <w:t xml:space="preserve"> would have </w:t>
      </w:r>
      <w:r w:rsidR="00655227" w:rsidRPr="007160B7">
        <w:rPr>
          <w:rFonts w:eastAsia="Calibri"/>
          <w:sz w:val="25"/>
          <w:szCs w:val="25"/>
        </w:rPr>
        <w:t xml:space="preserve">complied with the said written Constitutional </w:t>
      </w:r>
      <w:r w:rsidRPr="007160B7">
        <w:rPr>
          <w:rFonts w:eastAsia="Calibri"/>
          <w:sz w:val="25"/>
          <w:szCs w:val="25"/>
        </w:rPr>
        <w:t>laws, the outcome of</w:t>
      </w:r>
      <w:r w:rsidR="00655227" w:rsidRPr="007160B7">
        <w:rPr>
          <w:rFonts w:eastAsia="Calibri"/>
          <w:sz w:val="25"/>
          <w:szCs w:val="25"/>
        </w:rPr>
        <w:t xml:space="preserve"> </w:t>
      </w:r>
      <w:r w:rsidRPr="007160B7">
        <w:rPr>
          <w:rFonts w:eastAsia="Calibri"/>
          <w:sz w:val="25"/>
          <w:szCs w:val="25"/>
        </w:rPr>
        <w:t>the procee</w:t>
      </w:r>
      <w:r w:rsidR="008E5C71" w:rsidRPr="007160B7">
        <w:rPr>
          <w:rFonts w:eastAsia="Calibri"/>
          <w:sz w:val="25"/>
          <w:szCs w:val="25"/>
        </w:rPr>
        <w:t>dings would have been different</w:t>
      </w:r>
      <w:r w:rsidRPr="007160B7">
        <w:rPr>
          <w:rFonts w:eastAsia="Calibri"/>
          <w:sz w:val="25"/>
          <w:szCs w:val="25"/>
        </w:rPr>
        <w:t xml:space="preserve"> because the </w:t>
      </w:r>
      <w:r w:rsidR="00655227" w:rsidRPr="007160B7">
        <w:rPr>
          <w:rFonts w:eastAsia="Calibri"/>
          <w:sz w:val="25"/>
          <w:szCs w:val="25"/>
        </w:rPr>
        <w:t>paperwork</w:t>
      </w:r>
      <w:r w:rsidRPr="007160B7">
        <w:rPr>
          <w:rFonts w:eastAsia="Calibri"/>
          <w:sz w:val="25"/>
          <w:szCs w:val="25"/>
        </w:rPr>
        <w:t xml:space="preserve"> would have been heard under the </w:t>
      </w:r>
      <w:r w:rsidR="001D0278" w:rsidRPr="007160B7">
        <w:rPr>
          <w:rFonts w:eastAsia="Calibri"/>
          <w:sz w:val="25"/>
          <w:szCs w:val="25"/>
        </w:rPr>
        <w:t>(</w:t>
      </w:r>
      <w:r w:rsidRPr="002B2133">
        <w:rPr>
          <w:rFonts w:eastAsia="Calibri"/>
          <w:b/>
          <w:i/>
          <w:sz w:val="25"/>
          <w:szCs w:val="25"/>
        </w:rPr>
        <w:t xml:space="preserve">Tucker </w:t>
      </w:r>
      <w:r w:rsidR="00C43F13" w:rsidRPr="002B2133">
        <w:rPr>
          <w:rFonts w:eastAsia="Calibri"/>
          <w:b/>
          <w:i/>
          <w:sz w:val="25"/>
          <w:szCs w:val="25"/>
        </w:rPr>
        <w:t>Act</w:t>
      </w:r>
      <w:r w:rsidR="00116437">
        <w:rPr>
          <w:rFonts w:eastAsia="Calibri"/>
          <w:sz w:val="25"/>
          <w:szCs w:val="25"/>
        </w:rPr>
        <w:t>[2</w:t>
      </w:r>
      <w:r w:rsidR="001D0278" w:rsidRPr="007160B7">
        <w:rPr>
          <w:rFonts w:eastAsia="Calibri"/>
          <w:sz w:val="25"/>
          <w:szCs w:val="25"/>
        </w:rPr>
        <w:t xml:space="preserve">] </w:t>
      </w:r>
      <w:r w:rsidR="001D0278" w:rsidRPr="00492EE3">
        <w:rPr>
          <w:rFonts w:eastAsia="Calibri"/>
          <w:i/>
          <w:sz w:val="25"/>
          <w:szCs w:val="25"/>
        </w:rPr>
        <w:t>may apply</w:t>
      </w:r>
      <w:r w:rsidR="001D0278" w:rsidRPr="007160B7">
        <w:rPr>
          <w:rFonts w:eastAsia="Calibri"/>
          <w:sz w:val="25"/>
          <w:szCs w:val="25"/>
        </w:rPr>
        <w:t>)</w:t>
      </w:r>
      <w:r w:rsidR="00C43F13" w:rsidRPr="007160B7">
        <w:rPr>
          <w:rFonts w:eastAsia="Calibri"/>
          <w:sz w:val="25"/>
          <w:szCs w:val="25"/>
        </w:rPr>
        <w:t xml:space="preserve"> or either transferred to a</w:t>
      </w:r>
      <w:r w:rsidRPr="007160B7">
        <w:rPr>
          <w:rFonts w:eastAsia="Calibri"/>
          <w:sz w:val="25"/>
          <w:szCs w:val="25"/>
        </w:rPr>
        <w:t xml:space="preserve"> court having proper jurisdiction.</w:t>
      </w:r>
    </w:p>
    <w:p w:rsidR="004663D2" w:rsidRDefault="004663D2" w:rsidP="007160B7">
      <w:pPr>
        <w:pStyle w:val="ListParagraph"/>
        <w:spacing w:line="240" w:lineRule="auto"/>
        <w:ind w:left="0" w:firstLine="360"/>
        <w:rPr>
          <w:rFonts w:eastAsia="Calibri"/>
          <w:sz w:val="25"/>
          <w:szCs w:val="25"/>
        </w:rPr>
      </w:pPr>
    </w:p>
    <w:p w:rsidR="00A31022" w:rsidRPr="007160B7" w:rsidRDefault="00776253" w:rsidP="007160B7">
      <w:pPr>
        <w:pStyle w:val="ListParagraph"/>
        <w:spacing w:line="240" w:lineRule="auto"/>
        <w:ind w:left="0" w:firstLine="360"/>
        <w:rPr>
          <w:rFonts w:eastAsia="Calibri"/>
          <w:sz w:val="25"/>
          <w:szCs w:val="25"/>
        </w:rPr>
      </w:pPr>
      <w:r w:rsidRPr="007160B7">
        <w:rPr>
          <w:rFonts w:eastAsia="Calibri"/>
          <w:sz w:val="25"/>
          <w:szCs w:val="25"/>
        </w:rPr>
        <w:t xml:space="preserve">The </w:t>
      </w:r>
      <w:r w:rsidR="002269EF" w:rsidRPr="007160B7">
        <w:rPr>
          <w:rFonts w:eastAsia="Calibri"/>
          <w:sz w:val="25"/>
          <w:szCs w:val="25"/>
        </w:rPr>
        <w:t>F</w:t>
      </w:r>
      <w:r w:rsidRPr="007160B7">
        <w:rPr>
          <w:rFonts w:eastAsia="Calibri"/>
          <w:sz w:val="25"/>
          <w:szCs w:val="25"/>
        </w:rPr>
        <w:t>undamental</w:t>
      </w:r>
      <w:r w:rsidR="008F0668" w:rsidRPr="007160B7">
        <w:rPr>
          <w:rFonts w:eastAsia="Calibri"/>
          <w:sz w:val="25"/>
          <w:szCs w:val="25"/>
        </w:rPr>
        <w:t xml:space="preserve"> Rights</w:t>
      </w:r>
      <w:r w:rsidRPr="007160B7">
        <w:rPr>
          <w:rFonts w:eastAsia="Calibri"/>
          <w:sz w:val="25"/>
          <w:szCs w:val="25"/>
        </w:rPr>
        <w:t xml:space="preserve"> of, “Access to the Courts,” is protected and secured by the </w:t>
      </w:r>
      <w:r w:rsidR="008F0668" w:rsidRPr="007160B7">
        <w:rPr>
          <w:rFonts w:eastAsia="Calibri"/>
          <w:sz w:val="25"/>
          <w:szCs w:val="25"/>
        </w:rPr>
        <w:t xml:space="preserve">Constitution of the United </w:t>
      </w:r>
      <w:r w:rsidRPr="007160B7">
        <w:rPr>
          <w:rFonts w:eastAsia="Calibri"/>
          <w:sz w:val="25"/>
          <w:szCs w:val="25"/>
        </w:rPr>
        <w:t>S</w:t>
      </w:r>
      <w:r w:rsidR="008F0668" w:rsidRPr="007160B7">
        <w:rPr>
          <w:rFonts w:eastAsia="Calibri"/>
          <w:sz w:val="25"/>
          <w:szCs w:val="25"/>
        </w:rPr>
        <w:t>tates</w:t>
      </w:r>
      <w:r w:rsidRPr="007160B7">
        <w:rPr>
          <w:rFonts w:eastAsia="Calibri"/>
          <w:sz w:val="25"/>
          <w:szCs w:val="25"/>
        </w:rPr>
        <w:t xml:space="preserve">, to wit: the </w:t>
      </w:r>
      <w:r w:rsidR="00655227" w:rsidRPr="002B2133">
        <w:rPr>
          <w:rFonts w:eastAsia="Calibri"/>
          <w:b/>
          <w:sz w:val="25"/>
          <w:szCs w:val="25"/>
        </w:rPr>
        <w:t>FIRST</w:t>
      </w:r>
      <w:r w:rsidRPr="007160B7">
        <w:rPr>
          <w:rFonts w:eastAsia="Calibri"/>
          <w:sz w:val="25"/>
          <w:szCs w:val="25"/>
        </w:rPr>
        <w:t xml:space="preserve"> Amendment right </w:t>
      </w:r>
      <w:r w:rsidR="00A31022" w:rsidRPr="007160B7">
        <w:rPr>
          <w:rFonts w:eastAsia="Calibri"/>
          <w:sz w:val="25"/>
          <w:szCs w:val="25"/>
        </w:rPr>
        <w:t>“</w:t>
      </w:r>
      <w:r w:rsidRPr="007160B7">
        <w:rPr>
          <w:rFonts w:eastAsia="Calibri"/>
          <w:sz w:val="25"/>
          <w:szCs w:val="25"/>
        </w:rPr>
        <w:t>to petition the government for</w:t>
      </w:r>
      <w:r w:rsidR="00655227" w:rsidRPr="007160B7">
        <w:rPr>
          <w:rFonts w:eastAsia="Calibri"/>
          <w:sz w:val="25"/>
          <w:szCs w:val="25"/>
        </w:rPr>
        <w:t xml:space="preserve"> a redress of grievances,” </w:t>
      </w:r>
      <w:r w:rsidR="00A31022" w:rsidRPr="007160B7">
        <w:rPr>
          <w:rFonts w:eastAsia="Calibri"/>
          <w:sz w:val="25"/>
          <w:szCs w:val="25"/>
        </w:rPr>
        <w:t xml:space="preserve">the </w:t>
      </w:r>
      <w:r w:rsidR="00A31022" w:rsidRPr="002B2133">
        <w:rPr>
          <w:rFonts w:eastAsia="Calibri"/>
          <w:b/>
          <w:sz w:val="25"/>
          <w:szCs w:val="25"/>
        </w:rPr>
        <w:t>FOURTH</w:t>
      </w:r>
      <w:r w:rsidR="00A31022" w:rsidRPr="007160B7">
        <w:rPr>
          <w:rFonts w:eastAsia="Calibri"/>
          <w:sz w:val="25"/>
          <w:szCs w:val="25"/>
        </w:rPr>
        <w:t xml:space="preserve"> Amendment righ</w:t>
      </w:r>
      <w:r w:rsidR="002B2133">
        <w:rPr>
          <w:rFonts w:eastAsia="Calibri"/>
          <w:sz w:val="25"/>
          <w:szCs w:val="25"/>
        </w:rPr>
        <w:t>t</w:t>
      </w:r>
      <w:r w:rsidR="00A31022" w:rsidRPr="007160B7">
        <w:rPr>
          <w:rFonts w:eastAsia="Calibri"/>
          <w:sz w:val="25"/>
          <w:szCs w:val="25"/>
        </w:rPr>
        <w:t xml:space="preserve"> “to life, liberty and property”, </w:t>
      </w:r>
      <w:r w:rsidR="00655227" w:rsidRPr="007160B7">
        <w:rPr>
          <w:rFonts w:eastAsia="Calibri"/>
          <w:sz w:val="25"/>
          <w:szCs w:val="25"/>
        </w:rPr>
        <w:t xml:space="preserve">the </w:t>
      </w:r>
      <w:r w:rsidR="00655227" w:rsidRPr="002B2133">
        <w:rPr>
          <w:rFonts w:eastAsia="Calibri"/>
          <w:b/>
          <w:sz w:val="25"/>
          <w:szCs w:val="25"/>
        </w:rPr>
        <w:t>FIFTH</w:t>
      </w:r>
      <w:r w:rsidRPr="007160B7">
        <w:rPr>
          <w:rFonts w:eastAsia="Calibri"/>
          <w:sz w:val="25"/>
          <w:szCs w:val="25"/>
        </w:rPr>
        <w:t xml:space="preserve"> Amendment right </w:t>
      </w:r>
      <w:r w:rsidR="00A31022" w:rsidRPr="007160B7">
        <w:rPr>
          <w:rFonts w:eastAsia="Calibri"/>
          <w:sz w:val="25"/>
          <w:szCs w:val="25"/>
        </w:rPr>
        <w:t>“</w:t>
      </w:r>
      <w:r w:rsidRPr="007160B7">
        <w:rPr>
          <w:rFonts w:eastAsia="Calibri"/>
          <w:sz w:val="25"/>
          <w:szCs w:val="25"/>
        </w:rPr>
        <w:t>t</w:t>
      </w:r>
      <w:r w:rsidR="00655227" w:rsidRPr="007160B7">
        <w:rPr>
          <w:rFonts w:eastAsia="Calibri"/>
          <w:sz w:val="25"/>
          <w:szCs w:val="25"/>
        </w:rPr>
        <w:t>o Due Process of Law</w:t>
      </w:r>
      <w:r w:rsidR="00A31022" w:rsidRPr="007160B7">
        <w:rPr>
          <w:rFonts w:eastAsia="Calibri"/>
          <w:sz w:val="25"/>
          <w:szCs w:val="25"/>
        </w:rPr>
        <w:t>”</w:t>
      </w:r>
      <w:r w:rsidR="00655227" w:rsidRPr="007160B7">
        <w:rPr>
          <w:rFonts w:eastAsia="Calibri"/>
          <w:sz w:val="25"/>
          <w:szCs w:val="25"/>
        </w:rPr>
        <w:t xml:space="preserve">, and the </w:t>
      </w:r>
      <w:r w:rsidR="00655227" w:rsidRPr="002B2133">
        <w:rPr>
          <w:rFonts w:eastAsia="Calibri"/>
          <w:b/>
          <w:sz w:val="25"/>
          <w:szCs w:val="25"/>
        </w:rPr>
        <w:t>FOURTEENTH</w:t>
      </w:r>
      <w:r w:rsidRPr="007160B7">
        <w:rPr>
          <w:rFonts w:eastAsia="Calibri"/>
          <w:sz w:val="25"/>
          <w:szCs w:val="25"/>
        </w:rPr>
        <w:t xml:space="preserve"> Amendment right </w:t>
      </w:r>
      <w:r w:rsidR="00A31022" w:rsidRPr="007160B7">
        <w:rPr>
          <w:rFonts w:eastAsia="Calibri"/>
          <w:sz w:val="25"/>
          <w:szCs w:val="25"/>
        </w:rPr>
        <w:t>“</w:t>
      </w:r>
      <w:r w:rsidRPr="007160B7">
        <w:rPr>
          <w:rFonts w:eastAsia="Calibri"/>
          <w:sz w:val="25"/>
          <w:szCs w:val="25"/>
        </w:rPr>
        <w:t>of Equal Prote</w:t>
      </w:r>
      <w:r w:rsidR="001D0278" w:rsidRPr="007160B7">
        <w:rPr>
          <w:rFonts w:eastAsia="Calibri"/>
          <w:sz w:val="25"/>
          <w:szCs w:val="25"/>
        </w:rPr>
        <w:t xml:space="preserve">ction under </w:t>
      </w:r>
      <w:r w:rsidR="00A31022" w:rsidRPr="007160B7">
        <w:rPr>
          <w:rFonts w:eastAsia="Calibri"/>
          <w:sz w:val="25"/>
          <w:szCs w:val="25"/>
        </w:rPr>
        <w:t>the laws</w:t>
      </w:r>
      <w:r w:rsidR="002B2133">
        <w:rPr>
          <w:rFonts w:eastAsia="Calibri"/>
          <w:sz w:val="25"/>
          <w:szCs w:val="25"/>
        </w:rPr>
        <w:t>”</w:t>
      </w:r>
      <w:r w:rsidR="00A31022" w:rsidRPr="007160B7">
        <w:rPr>
          <w:rFonts w:eastAsia="Calibri"/>
          <w:sz w:val="25"/>
          <w:szCs w:val="25"/>
        </w:rPr>
        <w:t xml:space="preserve">. </w:t>
      </w:r>
    </w:p>
    <w:p w:rsidR="004663D2" w:rsidRDefault="004663D2" w:rsidP="007160B7">
      <w:pPr>
        <w:pStyle w:val="ListParagraph"/>
        <w:spacing w:line="240" w:lineRule="auto"/>
        <w:ind w:left="0" w:firstLine="360"/>
        <w:rPr>
          <w:rFonts w:eastAsia="Calibri"/>
          <w:sz w:val="25"/>
          <w:szCs w:val="25"/>
        </w:rPr>
      </w:pPr>
    </w:p>
    <w:p w:rsidR="00655227" w:rsidRPr="007160B7" w:rsidRDefault="002B2133" w:rsidP="007160B7">
      <w:pPr>
        <w:pStyle w:val="ListParagraph"/>
        <w:spacing w:line="240" w:lineRule="auto"/>
        <w:ind w:left="0" w:firstLine="360"/>
        <w:rPr>
          <w:rFonts w:eastAsia="Calibri"/>
          <w:sz w:val="25"/>
          <w:szCs w:val="25"/>
        </w:rPr>
      </w:pPr>
      <w:r>
        <w:rPr>
          <w:rFonts w:eastAsia="Calibri"/>
          <w:sz w:val="25"/>
          <w:szCs w:val="25"/>
        </w:rPr>
        <w:t xml:space="preserve">The </w:t>
      </w:r>
      <w:r w:rsidRPr="002B2133">
        <w:rPr>
          <w:rFonts w:eastAsia="Calibri"/>
          <w:b/>
          <w:sz w:val="25"/>
          <w:szCs w:val="25"/>
        </w:rPr>
        <w:t>RIGHT</w:t>
      </w:r>
      <w:r w:rsidR="00776253" w:rsidRPr="007160B7">
        <w:rPr>
          <w:rFonts w:eastAsia="Calibri"/>
          <w:sz w:val="25"/>
          <w:szCs w:val="25"/>
        </w:rPr>
        <w:t xml:space="preserve"> to sue and defend in the courts is one of the highest and most essential privileges of citizenship and must be allowed by each State to the citizens</w:t>
      </w:r>
      <w:r w:rsidR="00655227" w:rsidRPr="007160B7">
        <w:rPr>
          <w:rFonts w:eastAsia="Calibri"/>
          <w:sz w:val="25"/>
          <w:szCs w:val="25"/>
        </w:rPr>
        <w:t xml:space="preserve"> </w:t>
      </w:r>
      <w:r w:rsidR="00776253" w:rsidRPr="007160B7">
        <w:rPr>
          <w:rFonts w:eastAsia="Calibri"/>
          <w:sz w:val="25"/>
          <w:szCs w:val="25"/>
        </w:rPr>
        <w:t>of all other St</w:t>
      </w:r>
      <w:r w:rsidR="006E26BC">
        <w:rPr>
          <w:rFonts w:eastAsia="Calibri"/>
          <w:sz w:val="25"/>
          <w:szCs w:val="25"/>
        </w:rPr>
        <w:t xml:space="preserve">ates to the same extent that </w:t>
      </w:r>
      <w:r w:rsidR="00776253" w:rsidRPr="007160B7">
        <w:rPr>
          <w:rFonts w:eastAsia="Calibri"/>
          <w:sz w:val="25"/>
          <w:szCs w:val="25"/>
        </w:rPr>
        <w:t>is</w:t>
      </w:r>
      <w:r w:rsidR="006E26BC">
        <w:rPr>
          <w:rFonts w:eastAsia="Calibri"/>
          <w:sz w:val="25"/>
          <w:szCs w:val="25"/>
        </w:rPr>
        <w:t xml:space="preserve"> allowed to its own citizens.</w:t>
      </w:r>
      <w:r w:rsidR="00655227" w:rsidRPr="007160B7">
        <w:rPr>
          <w:rFonts w:eastAsia="Calibri"/>
          <w:sz w:val="25"/>
          <w:szCs w:val="25"/>
        </w:rPr>
        <w:t xml:space="preserve"> </w:t>
      </w:r>
      <w:r w:rsidR="00776253" w:rsidRPr="007160B7">
        <w:rPr>
          <w:rFonts w:eastAsia="Calibri"/>
          <w:sz w:val="25"/>
          <w:szCs w:val="25"/>
        </w:rPr>
        <w:t>See Chambers v</w:t>
      </w:r>
      <w:r w:rsidR="00807B3B" w:rsidRPr="007160B7">
        <w:rPr>
          <w:rFonts w:eastAsia="Calibri"/>
          <w:sz w:val="25"/>
          <w:szCs w:val="25"/>
        </w:rPr>
        <w:t>s</w:t>
      </w:r>
      <w:r w:rsidR="00776253" w:rsidRPr="007160B7">
        <w:rPr>
          <w:rFonts w:eastAsia="Calibri"/>
          <w:sz w:val="25"/>
          <w:szCs w:val="25"/>
        </w:rPr>
        <w:t>. Baltimore &amp; O.R.R., 207 U.S. 142, 148 (1907); McKnett v</w:t>
      </w:r>
      <w:r w:rsidR="00807B3B" w:rsidRPr="007160B7">
        <w:rPr>
          <w:rFonts w:eastAsia="Calibri"/>
          <w:sz w:val="25"/>
          <w:szCs w:val="25"/>
        </w:rPr>
        <w:t>s</w:t>
      </w:r>
      <w:r w:rsidR="00776253" w:rsidRPr="007160B7">
        <w:rPr>
          <w:rFonts w:eastAsia="Calibri"/>
          <w:sz w:val="25"/>
          <w:szCs w:val="25"/>
        </w:rPr>
        <w:t xml:space="preserve">. St. Louis &amp; S.F. </w:t>
      </w:r>
      <w:r w:rsidR="006E26BC">
        <w:rPr>
          <w:rFonts w:eastAsia="Calibri"/>
          <w:sz w:val="25"/>
          <w:szCs w:val="25"/>
        </w:rPr>
        <w:t xml:space="preserve">Ry., 292 U.S. 230, 233 (1934). </w:t>
      </w:r>
    </w:p>
    <w:p w:rsidR="004663D2" w:rsidRDefault="004663D2" w:rsidP="007160B7">
      <w:pPr>
        <w:pStyle w:val="ListParagraph"/>
        <w:spacing w:line="240" w:lineRule="auto"/>
        <w:ind w:left="0" w:firstLine="360"/>
        <w:rPr>
          <w:rFonts w:eastAsia="Calibri"/>
          <w:sz w:val="25"/>
          <w:szCs w:val="25"/>
        </w:rPr>
      </w:pPr>
    </w:p>
    <w:p w:rsidR="00776253" w:rsidRPr="007160B7" w:rsidRDefault="00776253" w:rsidP="007160B7">
      <w:pPr>
        <w:pStyle w:val="ListParagraph"/>
        <w:spacing w:line="240" w:lineRule="auto"/>
        <w:ind w:left="0" w:firstLine="360"/>
        <w:rPr>
          <w:rFonts w:eastAsia="Calibri"/>
          <w:sz w:val="25"/>
          <w:szCs w:val="25"/>
        </w:rPr>
      </w:pPr>
      <w:r w:rsidRPr="007160B7">
        <w:rPr>
          <w:rFonts w:eastAsia="Calibri"/>
          <w:sz w:val="25"/>
          <w:szCs w:val="25"/>
        </w:rPr>
        <w:t>The constitutional requirement is satisfied if</w:t>
      </w:r>
      <w:r w:rsidR="00655227" w:rsidRPr="007160B7">
        <w:rPr>
          <w:rFonts w:eastAsia="Calibri"/>
          <w:sz w:val="25"/>
          <w:szCs w:val="25"/>
        </w:rPr>
        <w:t xml:space="preserve"> </w:t>
      </w:r>
      <w:r w:rsidR="002B2133">
        <w:rPr>
          <w:rFonts w:eastAsia="Calibri"/>
          <w:sz w:val="25"/>
          <w:szCs w:val="25"/>
        </w:rPr>
        <w:t>a</w:t>
      </w:r>
      <w:r w:rsidRPr="007160B7">
        <w:rPr>
          <w:rFonts w:eastAsia="Calibri"/>
          <w:sz w:val="25"/>
          <w:szCs w:val="25"/>
        </w:rPr>
        <w:t xml:space="preserve"> non</w:t>
      </w:r>
      <w:r w:rsidR="002269EF" w:rsidRPr="007160B7">
        <w:rPr>
          <w:rFonts w:eastAsia="Calibri"/>
          <w:sz w:val="25"/>
          <w:szCs w:val="25"/>
        </w:rPr>
        <w:t>-</w:t>
      </w:r>
      <w:r w:rsidR="00A31022" w:rsidRPr="007160B7">
        <w:rPr>
          <w:rFonts w:eastAsia="Calibri"/>
          <w:sz w:val="25"/>
          <w:szCs w:val="25"/>
        </w:rPr>
        <w:t>resident is given “Access to the C</w:t>
      </w:r>
      <w:r w:rsidR="00807B3B" w:rsidRPr="007160B7">
        <w:rPr>
          <w:rFonts w:eastAsia="Calibri"/>
          <w:sz w:val="25"/>
          <w:szCs w:val="25"/>
        </w:rPr>
        <w:t>ourts</w:t>
      </w:r>
      <w:r w:rsidR="00A31022" w:rsidRPr="007160B7">
        <w:rPr>
          <w:rFonts w:eastAsia="Calibri"/>
          <w:sz w:val="25"/>
          <w:szCs w:val="25"/>
        </w:rPr>
        <w:t>”</w:t>
      </w:r>
      <w:r w:rsidR="00807B3B" w:rsidRPr="007160B7">
        <w:rPr>
          <w:rFonts w:eastAsia="Calibri"/>
          <w:sz w:val="25"/>
          <w:szCs w:val="25"/>
        </w:rPr>
        <w:t xml:space="preserve"> of the State</w:t>
      </w:r>
      <w:r w:rsidRPr="007160B7">
        <w:rPr>
          <w:rFonts w:eastAsia="Calibri"/>
          <w:sz w:val="25"/>
          <w:szCs w:val="25"/>
        </w:rPr>
        <w:t xml:space="preserve"> upon terms which, in themselves, are reasonable and adequate for the enforcing of any rights he may have, even though they may not be technically the same as those a</w:t>
      </w:r>
      <w:r w:rsidR="00655227" w:rsidRPr="007160B7">
        <w:rPr>
          <w:rFonts w:eastAsia="Calibri"/>
          <w:sz w:val="25"/>
          <w:szCs w:val="25"/>
        </w:rPr>
        <w:t>ccorded to resident citizen</w:t>
      </w:r>
      <w:r w:rsidR="006D0B23" w:rsidRPr="007160B7">
        <w:rPr>
          <w:rFonts w:eastAsia="Calibri"/>
          <w:sz w:val="25"/>
          <w:szCs w:val="25"/>
        </w:rPr>
        <w:t>s.</w:t>
      </w:r>
      <w:r w:rsidR="00655227" w:rsidRPr="007160B7">
        <w:rPr>
          <w:rFonts w:eastAsia="Calibri"/>
          <w:sz w:val="25"/>
          <w:szCs w:val="25"/>
        </w:rPr>
        <w:t xml:space="preserve"> </w:t>
      </w:r>
      <w:r w:rsidRPr="007160B7">
        <w:rPr>
          <w:rFonts w:eastAsia="Calibri"/>
          <w:sz w:val="25"/>
          <w:szCs w:val="25"/>
        </w:rPr>
        <w:t>See Canadian Northern R</w:t>
      </w:r>
      <w:r w:rsidR="00655227" w:rsidRPr="007160B7">
        <w:rPr>
          <w:rFonts w:eastAsia="Calibri"/>
          <w:sz w:val="25"/>
          <w:szCs w:val="25"/>
        </w:rPr>
        <w:t>y. v</w:t>
      </w:r>
      <w:r w:rsidR="00807B3B" w:rsidRPr="007160B7">
        <w:rPr>
          <w:rFonts w:eastAsia="Calibri"/>
          <w:sz w:val="25"/>
          <w:szCs w:val="25"/>
        </w:rPr>
        <w:t>s</w:t>
      </w:r>
      <w:r w:rsidR="00655227" w:rsidRPr="007160B7">
        <w:rPr>
          <w:rFonts w:eastAsia="Calibri"/>
          <w:sz w:val="25"/>
          <w:szCs w:val="25"/>
        </w:rPr>
        <w:t xml:space="preserve">. </w:t>
      </w:r>
      <w:proofErr w:type="spellStart"/>
      <w:r w:rsidR="00655227" w:rsidRPr="007160B7">
        <w:rPr>
          <w:rFonts w:eastAsia="Calibri"/>
          <w:sz w:val="25"/>
          <w:szCs w:val="25"/>
        </w:rPr>
        <w:t>Eggen</w:t>
      </w:r>
      <w:proofErr w:type="spellEnd"/>
      <w:r w:rsidR="00655227" w:rsidRPr="007160B7">
        <w:rPr>
          <w:rFonts w:eastAsia="Calibri"/>
          <w:sz w:val="25"/>
          <w:szCs w:val="25"/>
        </w:rPr>
        <w:t>, 252 U.S. 553 (1920</w:t>
      </w:r>
      <w:r w:rsidRPr="007160B7">
        <w:rPr>
          <w:rFonts w:eastAsia="Calibri"/>
          <w:sz w:val="25"/>
          <w:szCs w:val="25"/>
        </w:rPr>
        <w:t>. “The right of access to the courts is basic to our system of government, and it is well established today that it is one of the fundamental rights p</w:t>
      </w:r>
      <w:r w:rsidR="00655227" w:rsidRPr="007160B7">
        <w:rPr>
          <w:rFonts w:eastAsia="Calibri"/>
          <w:sz w:val="25"/>
          <w:szCs w:val="25"/>
        </w:rPr>
        <w:t xml:space="preserve">rotected by the Constitution.” </w:t>
      </w:r>
      <w:r w:rsidRPr="007160B7">
        <w:rPr>
          <w:rFonts w:eastAsia="Calibri"/>
          <w:sz w:val="25"/>
          <w:szCs w:val="25"/>
        </w:rPr>
        <w:t>See Ryland v</w:t>
      </w:r>
      <w:r w:rsidR="00807B3B" w:rsidRPr="007160B7">
        <w:rPr>
          <w:rFonts w:eastAsia="Calibri"/>
          <w:sz w:val="25"/>
          <w:szCs w:val="25"/>
        </w:rPr>
        <w:t>s</w:t>
      </w:r>
      <w:r w:rsidRPr="007160B7">
        <w:rPr>
          <w:rFonts w:eastAsia="Calibri"/>
          <w:sz w:val="25"/>
          <w:szCs w:val="25"/>
        </w:rPr>
        <w:t xml:space="preserve">. Shapiro, </w:t>
      </w:r>
      <w:proofErr w:type="gramStart"/>
      <w:r w:rsidRPr="007160B7">
        <w:rPr>
          <w:rFonts w:eastAsia="Calibri"/>
          <w:sz w:val="25"/>
          <w:szCs w:val="25"/>
        </w:rPr>
        <w:t>708 F.2d 967, 971</w:t>
      </w:r>
      <w:proofErr w:type="gramEnd"/>
      <w:r w:rsidRPr="007160B7">
        <w:rPr>
          <w:rFonts w:eastAsia="Calibri"/>
          <w:sz w:val="25"/>
          <w:szCs w:val="25"/>
        </w:rPr>
        <w:t xml:space="preserve"> (5th Cir</w:t>
      </w:r>
      <w:r w:rsidR="00C43F13" w:rsidRPr="007160B7">
        <w:rPr>
          <w:rFonts w:eastAsia="Calibri"/>
          <w:sz w:val="25"/>
          <w:szCs w:val="25"/>
        </w:rPr>
        <w:t>cuit</w:t>
      </w:r>
      <w:r w:rsidR="004815AE" w:rsidRPr="007160B7">
        <w:rPr>
          <w:rFonts w:eastAsia="Calibri"/>
          <w:sz w:val="25"/>
          <w:szCs w:val="25"/>
        </w:rPr>
        <w:t>,</w:t>
      </w:r>
      <w:r w:rsidRPr="007160B7">
        <w:rPr>
          <w:rFonts w:eastAsia="Calibri"/>
          <w:sz w:val="25"/>
          <w:szCs w:val="25"/>
        </w:rPr>
        <w:t xml:space="preserve"> 1983).</w:t>
      </w:r>
    </w:p>
    <w:p w:rsidR="006D0B23" w:rsidRDefault="006D0B23" w:rsidP="007160B7">
      <w:pPr>
        <w:pStyle w:val="ListParagraph"/>
        <w:spacing w:line="240" w:lineRule="auto"/>
        <w:ind w:left="0" w:firstLine="360"/>
        <w:rPr>
          <w:rFonts w:eastAsia="Calibri"/>
          <w:sz w:val="25"/>
          <w:szCs w:val="25"/>
        </w:rPr>
      </w:pPr>
    </w:p>
    <w:p w:rsidR="004663D2" w:rsidRPr="007160B7" w:rsidRDefault="004663D2" w:rsidP="007160B7">
      <w:pPr>
        <w:pStyle w:val="ListParagraph"/>
        <w:spacing w:line="240" w:lineRule="auto"/>
        <w:ind w:left="0" w:firstLine="360"/>
        <w:rPr>
          <w:rFonts w:eastAsia="Calibri"/>
          <w:sz w:val="25"/>
          <w:szCs w:val="25"/>
        </w:rPr>
      </w:pPr>
    </w:p>
    <w:p w:rsidR="00F657BE" w:rsidRPr="00FC710C" w:rsidRDefault="00776253" w:rsidP="006D0B23">
      <w:pPr>
        <w:jc w:val="center"/>
        <w:rPr>
          <w:rFonts w:ascii="Times New Roman" w:hAnsi="Times New Roman" w:cs="Times New Roman"/>
          <w:b/>
          <w:sz w:val="25"/>
          <w:szCs w:val="25"/>
          <w:u w:val="single"/>
        </w:rPr>
      </w:pPr>
      <w:r w:rsidRPr="00FC710C">
        <w:rPr>
          <w:rFonts w:ascii="Times New Roman" w:hAnsi="Times New Roman" w:cs="Times New Roman"/>
          <w:b/>
          <w:sz w:val="25"/>
          <w:szCs w:val="25"/>
          <w:u w:val="single"/>
        </w:rPr>
        <w:t>CONCLUSION</w:t>
      </w:r>
    </w:p>
    <w:p w:rsidR="00F02BFB" w:rsidRPr="00FC710C" w:rsidRDefault="00776253" w:rsidP="007160B7">
      <w:pPr>
        <w:pStyle w:val="ListParagraph"/>
        <w:spacing w:line="240" w:lineRule="auto"/>
        <w:ind w:left="0" w:firstLine="360"/>
        <w:rPr>
          <w:sz w:val="25"/>
          <w:szCs w:val="25"/>
        </w:rPr>
      </w:pPr>
      <w:r w:rsidRPr="00FC710C">
        <w:rPr>
          <w:sz w:val="25"/>
          <w:szCs w:val="25"/>
        </w:rPr>
        <w:t xml:space="preserve">For the foregoing reasons, </w:t>
      </w:r>
      <w:r w:rsidR="00E11B79" w:rsidRPr="00FC710C">
        <w:rPr>
          <w:sz w:val="25"/>
          <w:szCs w:val="25"/>
        </w:rPr>
        <w:t xml:space="preserve">the issues and controversy </w:t>
      </w:r>
      <w:r w:rsidR="007772AC">
        <w:rPr>
          <w:sz w:val="25"/>
          <w:szCs w:val="25"/>
        </w:rPr>
        <w:t xml:space="preserve">within this jurisdiction </w:t>
      </w:r>
      <w:r w:rsidR="00E11B79" w:rsidRPr="00FC710C">
        <w:rPr>
          <w:sz w:val="25"/>
          <w:szCs w:val="25"/>
        </w:rPr>
        <w:t>against the ACCU</w:t>
      </w:r>
      <w:r w:rsidR="00C43F13" w:rsidRPr="00FC710C">
        <w:rPr>
          <w:sz w:val="25"/>
          <w:szCs w:val="25"/>
        </w:rPr>
        <w:t>SED are mandatorily resolved with or without</w:t>
      </w:r>
      <w:r w:rsidR="006D0B23">
        <w:rPr>
          <w:sz w:val="25"/>
          <w:szCs w:val="25"/>
        </w:rPr>
        <w:t xml:space="preserve"> a settled ORDER of this</w:t>
      </w:r>
      <w:r w:rsidR="00E11B79" w:rsidRPr="00FC710C">
        <w:rPr>
          <w:sz w:val="25"/>
          <w:szCs w:val="25"/>
        </w:rPr>
        <w:t xml:space="preserve"> Court </w:t>
      </w:r>
      <w:r w:rsidR="007772AC">
        <w:rPr>
          <w:sz w:val="25"/>
          <w:szCs w:val="25"/>
        </w:rPr>
        <w:t xml:space="preserve">and </w:t>
      </w:r>
      <w:r w:rsidR="00E11B79" w:rsidRPr="00FC710C">
        <w:rPr>
          <w:sz w:val="25"/>
          <w:szCs w:val="25"/>
        </w:rPr>
        <w:t>with prejudice in his favor</w:t>
      </w:r>
      <w:r w:rsidR="007772AC">
        <w:rPr>
          <w:sz w:val="25"/>
          <w:szCs w:val="25"/>
        </w:rPr>
        <w:t xml:space="preserve">. </w:t>
      </w:r>
      <w:r w:rsidR="007772AC" w:rsidRPr="00C40F34">
        <w:rPr>
          <w:b/>
          <w:i/>
          <w:sz w:val="25"/>
          <w:szCs w:val="25"/>
          <w:u w:val="single"/>
        </w:rPr>
        <w:t>I</w:t>
      </w:r>
      <w:r w:rsidR="00F02BFB" w:rsidRPr="00C40F34">
        <w:rPr>
          <w:b/>
          <w:i/>
          <w:sz w:val="25"/>
          <w:szCs w:val="25"/>
          <w:u w:val="single"/>
        </w:rPr>
        <w:t>f not</w:t>
      </w:r>
      <w:r w:rsidR="00F02BFB" w:rsidRPr="00FC710C">
        <w:rPr>
          <w:sz w:val="25"/>
          <w:szCs w:val="25"/>
        </w:rPr>
        <w:t>, then a Summons and Complaint</w:t>
      </w:r>
      <w:r w:rsidR="00430468" w:rsidRPr="00FC710C">
        <w:rPr>
          <w:sz w:val="25"/>
          <w:szCs w:val="25"/>
        </w:rPr>
        <w:t xml:space="preserve"> as </w:t>
      </w:r>
      <w:r w:rsidR="003E13ED">
        <w:rPr>
          <w:sz w:val="25"/>
          <w:szCs w:val="25"/>
        </w:rPr>
        <w:t xml:space="preserve">of </w:t>
      </w:r>
      <w:r w:rsidR="00430468" w:rsidRPr="00FC710C">
        <w:rPr>
          <w:sz w:val="25"/>
          <w:szCs w:val="25"/>
        </w:rPr>
        <w:t xml:space="preserve">a </w:t>
      </w:r>
      <w:r w:rsidR="000845CD" w:rsidRPr="00FC710C">
        <w:rPr>
          <w:sz w:val="25"/>
          <w:szCs w:val="25"/>
        </w:rPr>
        <w:t>denial</w:t>
      </w:r>
      <w:r w:rsidR="00430468" w:rsidRPr="00FC710C">
        <w:rPr>
          <w:sz w:val="25"/>
          <w:szCs w:val="25"/>
        </w:rPr>
        <w:t xml:space="preserve"> of rights</w:t>
      </w:r>
      <w:r w:rsidR="006D0B23">
        <w:rPr>
          <w:sz w:val="25"/>
          <w:szCs w:val="25"/>
        </w:rPr>
        <w:t xml:space="preserve"> (</w:t>
      </w:r>
      <w:r w:rsidR="006D0B23" w:rsidRPr="003E13ED">
        <w:rPr>
          <w:i/>
          <w:sz w:val="25"/>
          <w:szCs w:val="25"/>
        </w:rPr>
        <w:t>shall</w:t>
      </w:r>
      <w:r w:rsidR="006D0B23">
        <w:rPr>
          <w:sz w:val="25"/>
          <w:szCs w:val="25"/>
        </w:rPr>
        <w:t>)</w:t>
      </w:r>
      <w:r w:rsidR="00F02BFB" w:rsidRPr="00FC710C">
        <w:rPr>
          <w:sz w:val="25"/>
          <w:szCs w:val="25"/>
        </w:rPr>
        <w:t xml:space="preserve"> </w:t>
      </w:r>
      <w:r w:rsidR="000845CD" w:rsidRPr="00FC710C">
        <w:rPr>
          <w:sz w:val="25"/>
          <w:szCs w:val="25"/>
        </w:rPr>
        <w:t xml:space="preserve">then </w:t>
      </w:r>
      <w:r w:rsidR="006D0B23">
        <w:rPr>
          <w:sz w:val="25"/>
          <w:szCs w:val="25"/>
        </w:rPr>
        <w:t xml:space="preserve">to </w:t>
      </w:r>
      <w:r w:rsidR="00C43F13" w:rsidRPr="00FC710C">
        <w:rPr>
          <w:sz w:val="25"/>
          <w:szCs w:val="25"/>
        </w:rPr>
        <w:t xml:space="preserve">be </w:t>
      </w:r>
      <w:r w:rsidR="00F02BFB" w:rsidRPr="00FC710C">
        <w:rPr>
          <w:sz w:val="25"/>
          <w:szCs w:val="25"/>
        </w:rPr>
        <w:t xml:space="preserve">filed in Federal </w:t>
      </w:r>
      <w:r w:rsidR="006B608E">
        <w:rPr>
          <w:sz w:val="25"/>
          <w:szCs w:val="25"/>
        </w:rPr>
        <w:t>(</w:t>
      </w:r>
      <w:r w:rsidR="006B608E" w:rsidRPr="006B608E">
        <w:rPr>
          <w:i/>
          <w:sz w:val="25"/>
          <w:szCs w:val="25"/>
        </w:rPr>
        <w:t>or State</w:t>
      </w:r>
      <w:r w:rsidR="006B608E">
        <w:rPr>
          <w:sz w:val="25"/>
          <w:szCs w:val="25"/>
        </w:rPr>
        <w:t xml:space="preserve">) </w:t>
      </w:r>
      <w:r w:rsidR="00F02BFB" w:rsidRPr="00FC710C">
        <w:rPr>
          <w:sz w:val="25"/>
          <w:szCs w:val="25"/>
        </w:rPr>
        <w:t xml:space="preserve">Courts on the questions of denial of due process pursuant to </w:t>
      </w:r>
      <w:r w:rsidR="00E11B79" w:rsidRPr="00FC710C">
        <w:rPr>
          <w:sz w:val="25"/>
          <w:szCs w:val="25"/>
        </w:rPr>
        <w:t>42 U</w:t>
      </w:r>
      <w:r w:rsidR="00453084">
        <w:rPr>
          <w:sz w:val="25"/>
          <w:szCs w:val="25"/>
        </w:rPr>
        <w:t>.</w:t>
      </w:r>
      <w:r w:rsidR="00E11B79" w:rsidRPr="00FC710C">
        <w:rPr>
          <w:sz w:val="25"/>
          <w:szCs w:val="25"/>
        </w:rPr>
        <w:t>S</w:t>
      </w:r>
      <w:r w:rsidR="00453084">
        <w:rPr>
          <w:sz w:val="25"/>
          <w:szCs w:val="25"/>
        </w:rPr>
        <w:t>.</w:t>
      </w:r>
      <w:r w:rsidR="00E11B79" w:rsidRPr="00FC710C">
        <w:rPr>
          <w:sz w:val="25"/>
          <w:szCs w:val="25"/>
        </w:rPr>
        <w:t>C</w:t>
      </w:r>
      <w:r w:rsidR="00453084">
        <w:rPr>
          <w:sz w:val="25"/>
          <w:szCs w:val="25"/>
        </w:rPr>
        <w:t>.</w:t>
      </w:r>
      <w:r w:rsidR="00E11B79" w:rsidRPr="00FC710C">
        <w:rPr>
          <w:sz w:val="25"/>
          <w:szCs w:val="25"/>
        </w:rPr>
        <w:t xml:space="preserve"> Section 1983 for the sum of at least One Million Dollars ($1, 000,000).</w:t>
      </w:r>
    </w:p>
    <w:p w:rsidR="00C43F13" w:rsidRPr="00FC710C" w:rsidRDefault="00C43F13" w:rsidP="00C236B7">
      <w:pPr>
        <w:rPr>
          <w:rFonts w:ascii="Times New Roman" w:hAnsi="Times New Roman" w:cs="Times New Roman"/>
          <w:sz w:val="25"/>
          <w:szCs w:val="25"/>
        </w:rPr>
      </w:pPr>
    </w:p>
    <w:p w:rsidR="00E11B79" w:rsidRPr="00FC710C" w:rsidRDefault="00776253" w:rsidP="00C236B7">
      <w:pPr>
        <w:rPr>
          <w:rFonts w:ascii="Times New Roman" w:hAnsi="Times New Roman" w:cs="Times New Roman"/>
          <w:sz w:val="25"/>
          <w:szCs w:val="25"/>
        </w:rPr>
      </w:pPr>
      <w:r w:rsidRPr="00FC710C">
        <w:rPr>
          <w:rFonts w:ascii="Times New Roman" w:hAnsi="Times New Roman" w:cs="Times New Roman"/>
          <w:sz w:val="25"/>
          <w:szCs w:val="25"/>
        </w:rPr>
        <w:lastRenderedPageBreak/>
        <w:t>Respectfully Submitted</w:t>
      </w:r>
      <w:r w:rsidR="00453084">
        <w:rPr>
          <w:rFonts w:ascii="Times New Roman" w:hAnsi="Times New Roman" w:cs="Times New Roman"/>
          <w:sz w:val="25"/>
          <w:szCs w:val="25"/>
        </w:rPr>
        <w:t>,</w:t>
      </w:r>
      <w:r w:rsidRPr="00FC710C">
        <w:rPr>
          <w:rFonts w:ascii="Times New Roman" w:hAnsi="Times New Roman" w:cs="Times New Roman"/>
          <w:sz w:val="25"/>
          <w:szCs w:val="25"/>
        </w:rPr>
        <w:t xml:space="preserve"> </w:t>
      </w:r>
    </w:p>
    <w:p w:rsidR="00776253" w:rsidRDefault="00E11B79" w:rsidP="00C236B7">
      <w:pPr>
        <w:rPr>
          <w:rFonts w:ascii="Times New Roman" w:hAnsi="Times New Roman" w:cs="Times New Roman"/>
          <w:sz w:val="25"/>
          <w:szCs w:val="25"/>
        </w:rPr>
      </w:pPr>
      <w:r w:rsidRPr="00FC710C">
        <w:rPr>
          <w:rFonts w:ascii="Times New Roman" w:hAnsi="Times New Roman" w:cs="Times New Roman"/>
          <w:sz w:val="25"/>
          <w:szCs w:val="25"/>
        </w:rPr>
        <w:t>_________________________</w:t>
      </w:r>
    </w:p>
    <w:p w:rsidR="00CC647D" w:rsidRDefault="00CC647D" w:rsidP="00C236B7">
      <w:pPr>
        <w:rPr>
          <w:rFonts w:ascii="Times New Roman" w:hAnsi="Times New Roman" w:cs="Times New Roman"/>
          <w:b/>
          <w:i/>
          <w:sz w:val="25"/>
          <w:szCs w:val="25"/>
        </w:rPr>
      </w:pPr>
      <w:r>
        <w:rPr>
          <w:rFonts w:ascii="Times New Roman" w:hAnsi="Times New Roman" w:cs="Times New Roman"/>
          <w:b/>
          <w:i/>
          <w:sz w:val="25"/>
          <w:szCs w:val="25"/>
        </w:rPr>
        <w:t>I</w:t>
      </w:r>
      <w:r w:rsidRPr="00FC710C">
        <w:rPr>
          <w:rFonts w:ascii="Times New Roman" w:hAnsi="Times New Roman" w:cs="Times New Roman"/>
          <w:b/>
          <w:i/>
          <w:sz w:val="25"/>
          <w:szCs w:val="25"/>
        </w:rPr>
        <w:t xml:space="preserve">n </w:t>
      </w:r>
      <w:proofErr w:type="spellStart"/>
      <w:r w:rsidRPr="00FC710C">
        <w:rPr>
          <w:rFonts w:ascii="Times New Roman" w:hAnsi="Times New Roman" w:cs="Times New Roman"/>
          <w:b/>
          <w:i/>
          <w:sz w:val="25"/>
          <w:szCs w:val="25"/>
        </w:rPr>
        <w:t>Propria</w:t>
      </w:r>
      <w:proofErr w:type="spellEnd"/>
      <w:r w:rsidRPr="00FC710C">
        <w:rPr>
          <w:rFonts w:ascii="Times New Roman" w:hAnsi="Times New Roman" w:cs="Times New Roman"/>
          <w:b/>
          <w:i/>
          <w:sz w:val="25"/>
          <w:szCs w:val="25"/>
        </w:rPr>
        <w:t xml:space="preserve"> Persona</w:t>
      </w:r>
      <w:r w:rsidR="00015E63">
        <w:rPr>
          <w:rFonts w:ascii="Times New Roman" w:hAnsi="Times New Roman" w:cs="Times New Roman"/>
          <w:b/>
          <w:i/>
          <w:sz w:val="25"/>
          <w:szCs w:val="25"/>
        </w:rPr>
        <w:t xml:space="preserve"> sui juris</w:t>
      </w:r>
    </w:p>
    <w:p w:rsidR="00C0687D" w:rsidRPr="00E9298B" w:rsidRDefault="00E9298B" w:rsidP="00C236B7">
      <w:pPr>
        <w:rPr>
          <w:rFonts w:ascii="Times New Roman" w:hAnsi="Times New Roman" w:cs="Times New Roman"/>
          <w:b/>
          <w:sz w:val="25"/>
          <w:szCs w:val="25"/>
        </w:rPr>
      </w:pPr>
      <w:r w:rsidRPr="00E9298B">
        <w:rPr>
          <w:rFonts w:ascii="Times New Roman" w:hAnsi="Times New Roman" w:cs="Times New Roman"/>
          <w:b/>
          <w:sz w:val="25"/>
          <w:szCs w:val="25"/>
        </w:rPr>
        <w:t>Address:</w:t>
      </w:r>
    </w:p>
    <w:p w:rsidR="00E9298B" w:rsidRDefault="00E9298B" w:rsidP="00C236B7">
      <w:pPr>
        <w:rPr>
          <w:rFonts w:ascii="Times New Roman" w:hAnsi="Times New Roman" w:cs="Times New Roman"/>
          <w:b/>
          <w:i/>
          <w:sz w:val="25"/>
          <w:szCs w:val="25"/>
        </w:rPr>
      </w:pPr>
    </w:p>
    <w:p w:rsidR="00CA1D44" w:rsidRDefault="00CA1D44" w:rsidP="00C236B7">
      <w:pPr>
        <w:rPr>
          <w:rFonts w:ascii="Times New Roman" w:hAnsi="Times New Roman" w:cs="Times New Roman"/>
          <w:b/>
          <w:i/>
          <w:sz w:val="25"/>
          <w:szCs w:val="25"/>
        </w:rPr>
      </w:pPr>
    </w:p>
    <w:p w:rsidR="00CA1D44" w:rsidRDefault="00572819" w:rsidP="00C236B7">
      <w:pPr>
        <w:rPr>
          <w:rFonts w:ascii="Times New Roman" w:hAnsi="Times New Roman" w:cs="Times New Roman"/>
          <w:b/>
          <w:i/>
          <w:sz w:val="25"/>
          <w:szCs w:val="25"/>
        </w:rPr>
      </w:pPr>
      <w:r>
        <w:rPr>
          <w:rFonts w:ascii="Times New Roman" w:hAnsi="Times New Roman" w:cs="Times New Roman"/>
          <w:b/>
          <w:i/>
          <w:sz w:val="25"/>
          <w:szCs w:val="25"/>
        </w:rPr>
        <w:t>________________________</w:t>
      </w:r>
    </w:p>
    <w:p w:rsidR="003A3268" w:rsidRPr="003A3268" w:rsidRDefault="003A3268" w:rsidP="003A3268">
      <w:pPr>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[1]</w:t>
      </w:r>
      <w:r w:rsidRPr="003A3268">
        <w:rPr>
          <w:rFonts w:ascii="Times New Roman" w:hAnsi="Times New Roman" w:cs="Times New Roman"/>
          <w:sz w:val="18"/>
          <w:szCs w:val="18"/>
        </w:rPr>
        <w:t>Title 18 USC - Crimes and Criminal Procedure</w:t>
      </w:r>
      <w:r>
        <w:rPr>
          <w:rFonts w:ascii="Times New Roman" w:hAnsi="Times New Roman" w:cs="Times New Roman"/>
          <w:sz w:val="18"/>
          <w:szCs w:val="18"/>
        </w:rPr>
        <w:t xml:space="preserve">, </w:t>
      </w:r>
      <w:r w:rsidRPr="003A3268">
        <w:rPr>
          <w:rFonts w:ascii="Times New Roman" w:hAnsi="Times New Roman" w:cs="Times New Roman"/>
          <w:sz w:val="18"/>
          <w:szCs w:val="18"/>
        </w:rPr>
        <w:t xml:space="preserve">Part I </w:t>
      </w:r>
      <w:r>
        <w:rPr>
          <w:rFonts w:ascii="Times New Roman" w:hAnsi="Times New Roman" w:cs="Times New Roman"/>
          <w:sz w:val="18"/>
          <w:szCs w:val="18"/>
        </w:rPr>
        <w:t>–</w:t>
      </w:r>
      <w:r w:rsidRPr="003A3268">
        <w:rPr>
          <w:rFonts w:ascii="Times New Roman" w:hAnsi="Times New Roman" w:cs="Times New Roman"/>
          <w:sz w:val="18"/>
          <w:szCs w:val="18"/>
        </w:rPr>
        <w:t xml:space="preserve"> Crimes</w:t>
      </w:r>
      <w:r>
        <w:rPr>
          <w:rFonts w:ascii="Times New Roman" w:hAnsi="Times New Roman" w:cs="Times New Roman"/>
          <w:sz w:val="18"/>
          <w:szCs w:val="18"/>
        </w:rPr>
        <w:t xml:space="preserve">, </w:t>
      </w:r>
      <w:r w:rsidRPr="003A3268">
        <w:rPr>
          <w:rFonts w:ascii="Times New Roman" w:hAnsi="Times New Roman" w:cs="Times New Roman"/>
          <w:sz w:val="18"/>
          <w:szCs w:val="18"/>
        </w:rPr>
        <w:t>Chapter - Records and Reports</w:t>
      </w:r>
    </w:p>
    <w:p w:rsidR="003A3268" w:rsidRPr="003A3268" w:rsidRDefault="003A3268" w:rsidP="003A3268">
      <w:pPr>
        <w:spacing w:after="0" w:line="240" w:lineRule="auto"/>
        <w:contextualSpacing/>
        <w:rPr>
          <w:rFonts w:ascii="Times New Roman" w:hAnsi="Times New Roman" w:cs="Times New Roman"/>
          <w:sz w:val="18"/>
          <w:szCs w:val="18"/>
        </w:rPr>
      </w:pPr>
      <w:r w:rsidRPr="003A3268">
        <w:rPr>
          <w:rFonts w:ascii="Times New Roman" w:hAnsi="Times New Roman" w:cs="Times New Roman"/>
          <w:sz w:val="18"/>
          <w:szCs w:val="18"/>
        </w:rPr>
        <w:t>Section 2071 - Concealment, removal, or mutilation generally</w:t>
      </w:r>
    </w:p>
    <w:p w:rsidR="003A3268" w:rsidRDefault="003A3268" w:rsidP="003A3268">
      <w:pPr>
        <w:spacing w:after="0" w:line="240" w:lineRule="auto"/>
        <w:contextualSpacing/>
        <w:rPr>
          <w:rFonts w:ascii="Times New Roman" w:hAnsi="Times New Roman" w:cs="Times New Roman"/>
          <w:sz w:val="18"/>
          <w:szCs w:val="18"/>
        </w:rPr>
      </w:pPr>
      <w:r w:rsidRPr="003A3268">
        <w:rPr>
          <w:rFonts w:ascii="Times New Roman" w:hAnsi="Times New Roman" w:cs="Times New Roman"/>
          <w:sz w:val="18"/>
          <w:szCs w:val="18"/>
        </w:rPr>
        <w:t>(a) Whoever willfully and unlawfully conceals, removes, mutilates, obliterates, or destroys, or attempts to do so, or, with intent to do so takes and carries away any record, proceeding, paper, document, or other thing, filed or deposited with any clerk or officer of any court of the United States, or in any public office, or with any judicial or public of</w:t>
      </w:r>
      <w:r w:rsidR="00FF288B">
        <w:rPr>
          <w:rFonts w:ascii="Times New Roman" w:hAnsi="Times New Roman" w:cs="Times New Roman"/>
          <w:sz w:val="18"/>
          <w:szCs w:val="18"/>
        </w:rPr>
        <w:t>ficer of the United States, shal</w:t>
      </w:r>
      <w:bookmarkStart w:id="0" w:name="_GoBack"/>
      <w:bookmarkEnd w:id="0"/>
      <w:r w:rsidRPr="003A3268">
        <w:rPr>
          <w:rFonts w:ascii="Times New Roman" w:hAnsi="Times New Roman" w:cs="Times New Roman"/>
          <w:sz w:val="18"/>
          <w:szCs w:val="18"/>
        </w:rPr>
        <w:t>l be fined under this title or imprisoned not more than three years, or both. (b) Whoever, having the custody of any such record, proceeding, document, paper, or other thing, willfully and unlawfully conceals, removes, mutilates, obliterates, falsifies, or destroys the same, shall be fined under this title or imprisoned not more than three years, or both; and shall forfeit his office and be disqualified from holding any office under the United States. As used in this subsection, the term "office" does not include the office held by any person as a</w:t>
      </w:r>
      <w:r>
        <w:rPr>
          <w:rFonts w:ascii="Times New Roman" w:hAnsi="Times New Roman" w:cs="Times New Roman"/>
          <w:sz w:val="18"/>
          <w:szCs w:val="18"/>
        </w:rPr>
        <w:t xml:space="preserve"> </w:t>
      </w:r>
      <w:r w:rsidRPr="003A3268">
        <w:rPr>
          <w:rFonts w:ascii="Times New Roman" w:hAnsi="Times New Roman" w:cs="Times New Roman"/>
          <w:sz w:val="18"/>
          <w:szCs w:val="18"/>
        </w:rPr>
        <w:t>retired officer of the Armed Forces of the United States.</w:t>
      </w:r>
    </w:p>
    <w:p w:rsidR="003A3268" w:rsidRDefault="003A3268" w:rsidP="003A3268">
      <w:pPr>
        <w:tabs>
          <w:tab w:val="left" w:pos="1354"/>
        </w:tabs>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p>
    <w:p w:rsidR="007160B7" w:rsidRDefault="003A3268" w:rsidP="003A3268">
      <w:pPr>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[2</w:t>
      </w:r>
      <w:r w:rsidR="007160B7">
        <w:rPr>
          <w:rFonts w:ascii="Times New Roman" w:hAnsi="Times New Roman" w:cs="Times New Roman"/>
          <w:sz w:val="18"/>
          <w:szCs w:val="18"/>
        </w:rPr>
        <w:t xml:space="preserve">] </w:t>
      </w:r>
      <w:r w:rsidR="007160B7" w:rsidRPr="007160B7">
        <w:rPr>
          <w:rFonts w:ascii="Times New Roman" w:hAnsi="Times New Roman" w:cs="Times New Roman"/>
          <w:sz w:val="18"/>
          <w:szCs w:val="18"/>
        </w:rPr>
        <w:t>Under the Tucker Act of 1887, the United States waived its sovereign immunity as to certain kinds of claims. Although the government is immune to lawsuits</w:t>
      </w:r>
      <w:r w:rsidR="00015E63">
        <w:rPr>
          <w:rFonts w:ascii="Times New Roman" w:hAnsi="Times New Roman" w:cs="Times New Roman"/>
          <w:sz w:val="18"/>
          <w:szCs w:val="18"/>
        </w:rPr>
        <w:t xml:space="preserve"> and a</w:t>
      </w:r>
      <w:r w:rsidR="007160B7" w:rsidRPr="007160B7">
        <w:rPr>
          <w:rFonts w:ascii="Times New Roman" w:hAnsi="Times New Roman" w:cs="Times New Roman"/>
          <w:sz w:val="18"/>
          <w:szCs w:val="18"/>
        </w:rPr>
        <w:t xml:space="preserve">s a general rule, the </w:t>
      </w:r>
      <w:r w:rsidR="007160B7" w:rsidRPr="00015E63">
        <w:rPr>
          <w:rFonts w:ascii="Times New Roman" w:hAnsi="Times New Roman" w:cs="Times New Roman"/>
          <w:i/>
          <w:sz w:val="18"/>
          <w:szCs w:val="18"/>
        </w:rPr>
        <w:t>Tucker Act</w:t>
      </w:r>
      <w:r w:rsidR="007160B7" w:rsidRPr="007160B7">
        <w:rPr>
          <w:rFonts w:ascii="Times New Roman" w:hAnsi="Times New Roman" w:cs="Times New Roman"/>
          <w:sz w:val="18"/>
          <w:szCs w:val="18"/>
        </w:rPr>
        <w:t xml:space="preserve"> exposes the government to liability for certain claims. Specifically, a federal statute or regulation, and claims in cases not arising in tort. The relevant text of the Act is codified in 28 U.S.C. §§ 1346(a) and 1491, 28 U.S.C. § 1491.</w:t>
      </w:r>
    </w:p>
    <w:p w:rsidR="00B16609" w:rsidRDefault="00B16609" w:rsidP="003A3268">
      <w:pPr>
        <w:spacing w:after="0" w:line="240" w:lineRule="auto"/>
        <w:contextualSpacing/>
        <w:rPr>
          <w:rFonts w:ascii="Times New Roman" w:hAnsi="Times New Roman" w:cs="Times New Roman"/>
          <w:sz w:val="18"/>
          <w:szCs w:val="18"/>
        </w:rPr>
      </w:pPr>
      <w:r>
        <w:rPr>
          <w:rFonts w:ascii="Times New Roman" w:hAnsi="Times New Roman" w:cs="Times New Roman"/>
          <w:sz w:val="18"/>
          <w:szCs w:val="18"/>
        </w:rPr>
        <w:t>©copyright, 2020</w:t>
      </w:r>
    </w:p>
    <w:p w:rsidR="00F706CC" w:rsidRPr="007160B7" w:rsidRDefault="00F706CC" w:rsidP="00F706CC">
      <w:pPr>
        <w:pBdr>
          <w:bottom w:val="thinThickSmallGap" w:sz="24" w:space="1" w:color="auto"/>
        </w:pBdr>
        <w:spacing w:after="0" w:line="240" w:lineRule="auto"/>
        <w:contextualSpacing/>
        <w:rPr>
          <w:rFonts w:ascii="Times New Roman" w:hAnsi="Times New Roman" w:cs="Times New Roman"/>
          <w:sz w:val="18"/>
          <w:szCs w:val="18"/>
        </w:rPr>
      </w:pPr>
    </w:p>
    <w:p w:rsidR="00655227" w:rsidRPr="00FC710C" w:rsidRDefault="00E71151" w:rsidP="00E71151">
      <w:pPr>
        <w:jc w:val="center"/>
        <w:rPr>
          <w:rFonts w:ascii="Times New Roman" w:hAnsi="Times New Roman" w:cs="Times New Roman"/>
          <w:sz w:val="25"/>
          <w:szCs w:val="25"/>
        </w:rPr>
      </w:pPr>
      <w:r>
        <w:rPr>
          <w:rFonts w:ascii="Times New Roman" w:hAnsi="Times New Roman" w:cs="Times New Roman"/>
          <w:sz w:val="25"/>
          <w:szCs w:val="25"/>
        </w:rPr>
        <w:t>-- &amp;&amp;&amp; --</w:t>
      </w:r>
    </w:p>
    <w:sectPr w:rsidR="00655227" w:rsidRPr="00FC710C" w:rsidSect="00700ADF">
      <w:footerReference w:type="default" r:id="rId8"/>
      <w:pgSz w:w="12240" w:h="15840"/>
      <w:pgMar w:top="1152"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8A9" w:rsidRDefault="000228A9" w:rsidP="00C236B7">
      <w:pPr>
        <w:spacing w:after="0" w:line="240" w:lineRule="auto"/>
      </w:pPr>
      <w:r>
        <w:separator/>
      </w:r>
    </w:p>
  </w:endnote>
  <w:endnote w:type="continuationSeparator" w:id="0">
    <w:p w:rsidR="000228A9" w:rsidRDefault="000228A9" w:rsidP="00C23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810375625"/>
      <w:docPartObj>
        <w:docPartGallery w:val="Page Numbers (Bottom of Page)"/>
        <w:docPartUnique/>
      </w:docPartObj>
    </w:sdtPr>
    <w:sdtEndPr/>
    <w:sdtContent>
      <w:sdt>
        <w:sdtPr>
          <w:rPr>
            <w:i/>
            <w:sz w:val="20"/>
            <w:szCs w:val="20"/>
          </w:rPr>
          <w:id w:val="-1669238322"/>
          <w:docPartObj>
            <w:docPartGallery w:val="Page Numbers (Top of Page)"/>
            <w:docPartUnique/>
          </w:docPartObj>
        </w:sdtPr>
        <w:sdtEndPr>
          <w:rPr>
            <w:i w:val="0"/>
          </w:rPr>
        </w:sdtEndPr>
        <w:sdtContent>
          <w:p w:rsidR="00C236B7" w:rsidRPr="00143E4C" w:rsidRDefault="00143E4C">
            <w:pPr>
              <w:pStyle w:val="Footer"/>
              <w:jc w:val="center"/>
              <w:rPr>
                <w:sz w:val="20"/>
                <w:szCs w:val="20"/>
              </w:rPr>
            </w:pPr>
            <w:r w:rsidRPr="00EC5068">
              <w:rPr>
                <w:i/>
                <w:sz w:val="20"/>
                <w:szCs w:val="20"/>
              </w:rPr>
              <w:t xml:space="preserve">Denial of Access to the Courts                 </w:t>
            </w:r>
            <w:r>
              <w:rPr>
                <w:sz w:val="20"/>
                <w:szCs w:val="20"/>
              </w:rPr>
              <w:t xml:space="preserve">                                                                                                                           </w:t>
            </w:r>
            <w:r w:rsidRPr="00143E4C">
              <w:rPr>
                <w:sz w:val="20"/>
                <w:szCs w:val="20"/>
              </w:rPr>
              <w:t xml:space="preserve"> </w:t>
            </w:r>
            <w:r w:rsidR="00C236B7" w:rsidRPr="00143E4C">
              <w:rPr>
                <w:b/>
                <w:bCs/>
                <w:sz w:val="20"/>
                <w:szCs w:val="20"/>
              </w:rPr>
              <w:fldChar w:fldCharType="begin"/>
            </w:r>
            <w:r w:rsidR="00C236B7" w:rsidRPr="00143E4C">
              <w:rPr>
                <w:b/>
                <w:bCs/>
                <w:sz w:val="20"/>
                <w:szCs w:val="20"/>
              </w:rPr>
              <w:instrText xml:space="preserve"> PAGE </w:instrText>
            </w:r>
            <w:r w:rsidR="00C236B7" w:rsidRPr="00143E4C">
              <w:rPr>
                <w:b/>
                <w:bCs/>
                <w:sz w:val="20"/>
                <w:szCs w:val="20"/>
              </w:rPr>
              <w:fldChar w:fldCharType="separate"/>
            </w:r>
            <w:r w:rsidR="00FF288B">
              <w:rPr>
                <w:b/>
                <w:bCs/>
                <w:noProof/>
                <w:sz w:val="20"/>
                <w:szCs w:val="20"/>
              </w:rPr>
              <w:t>3</w:t>
            </w:r>
            <w:r w:rsidR="00C236B7" w:rsidRPr="00143E4C">
              <w:rPr>
                <w:b/>
                <w:bCs/>
                <w:sz w:val="20"/>
                <w:szCs w:val="20"/>
              </w:rPr>
              <w:fldChar w:fldCharType="end"/>
            </w:r>
            <w:r w:rsidR="00C236B7" w:rsidRPr="00143E4C">
              <w:rPr>
                <w:sz w:val="20"/>
                <w:szCs w:val="20"/>
              </w:rPr>
              <w:t xml:space="preserve"> of </w:t>
            </w:r>
            <w:r w:rsidR="00C236B7" w:rsidRPr="00143E4C">
              <w:rPr>
                <w:b/>
                <w:bCs/>
                <w:sz w:val="20"/>
                <w:szCs w:val="20"/>
              </w:rPr>
              <w:fldChar w:fldCharType="begin"/>
            </w:r>
            <w:r w:rsidR="00C236B7" w:rsidRPr="00143E4C">
              <w:rPr>
                <w:b/>
                <w:bCs/>
                <w:sz w:val="20"/>
                <w:szCs w:val="20"/>
              </w:rPr>
              <w:instrText xml:space="preserve"> NUMPAGES  </w:instrText>
            </w:r>
            <w:r w:rsidR="00C236B7" w:rsidRPr="00143E4C">
              <w:rPr>
                <w:b/>
                <w:bCs/>
                <w:sz w:val="20"/>
                <w:szCs w:val="20"/>
              </w:rPr>
              <w:fldChar w:fldCharType="separate"/>
            </w:r>
            <w:r w:rsidR="00FF288B">
              <w:rPr>
                <w:b/>
                <w:bCs/>
                <w:noProof/>
                <w:sz w:val="20"/>
                <w:szCs w:val="20"/>
              </w:rPr>
              <w:t>3</w:t>
            </w:r>
            <w:r w:rsidR="00C236B7" w:rsidRPr="00143E4C">
              <w:rPr>
                <w:b/>
                <w:bCs/>
                <w:sz w:val="20"/>
                <w:szCs w:val="20"/>
              </w:rPr>
              <w:fldChar w:fldCharType="end"/>
            </w:r>
          </w:p>
        </w:sdtContent>
      </w:sdt>
    </w:sdtContent>
  </w:sdt>
  <w:p w:rsidR="00C236B7" w:rsidRDefault="00C236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8A9" w:rsidRDefault="000228A9" w:rsidP="00C236B7">
      <w:pPr>
        <w:spacing w:after="0" w:line="240" w:lineRule="auto"/>
      </w:pPr>
      <w:r>
        <w:separator/>
      </w:r>
    </w:p>
  </w:footnote>
  <w:footnote w:type="continuationSeparator" w:id="0">
    <w:p w:rsidR="000228A9" w:rsidRDefault="000228A9" w:rsidP="00C236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53E1E"/>
    <w:multiLevelType w:val="multilevel"/>
    <w:tmpl w:val="970E5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7006D1"/>
    <w:multiLevelType w:val="multilevel"/>
    <w:tmpl w:val="72D6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250944"/>
    <w:multiLevelType w:val="multilevel"/>
    <w:tmpl w:val="3E40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214815"/>
    <w:multiLevelType w:val="multilevel"/>
    <w:tmpl w:val="424E1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253"/>
    <w:rsid w:val="00004F91"/>
    <w:rsid w:val="00007B3E"/>
    <w:rsid w:val="00015E63"/>
    <w:rsid w:val="000228A9"/>
    <w:rsid w:val="00044593"/>
    <w:rsid w:val="000845CD"/>
    <w:rsid w:val="000C51E2"/>
    <w:rsid w:val="00116437"/>
    <w:rsid w:val="0013007B"/>
    <w:rsid w:val="0014001A"/>
    <w:rsid w:val="00143E4C"/>
    <w:rsid w:val="001D0278"/>
    <w:rsid w:val="001D6860"/>
    <w:rsid w:val="001E1268"/>
    <w:rsid w:val="00207B7E"/>
    <w:rsid w:val="002254F9"/>
    <w:rsid w:val="002269EF"/>
    <w:rsid w:val="00255210"/>
    <w:rsid w:val="002738F3"/>
    <w:rsid w:val="00276704"/>
    <w:rsid w:val="00280C4A"/>
    <w:rsid w:val="002B2133"/>
    <w:rsid w:val="002E02D2"/>
    <w:rsid w:val="003A3268"/>
    <w:rsid w:val="003D3E96"/>
    <w:rsid w:val="003D5296"/>
    <w:rsid w:val="003E13ED"/>
    <w:rsid w:val="00405FF9"/>
    <w:rsid w:val="00430468"/>
    <w:rsid w:val="004324CA"/>
    <w:rsid w:val="00453084"/>
    <w:rsid w:val="004663D2"/>
    <w:rsid w:val="004815AE"/>
    <w:rsid w:val="00483588"/>
    <w:rsid w:val="00492EE3"/>
    <w:rsid w:val="004D3B24"/>
    <w:rsid w:val="005034D2"/>
    <w:rsid w:val="00525BC8"/>
    <w:rsid w:val="00530E6B"/>
    <w:rsid w:val="005620DD"/>
    <w:rsid w:val="00572819"/>
    <w:rsid w:val="005A0A2B"/>
    <w:rsid w:val="005C75E2"/>
    <w:rsid w:val="00602E46"/>
    <w:rsid w:val="00610F31"/>
    <w:rsid w:val="0062456E"/>
    <w:rsid w:val="006500AF"/>
    <w:rsid w:val="00655227"/>
    <w:rsid w:val="00656EF7"/>
    <w:rsid w:val="00682331"/>
    <w:rsid w:val="00693DE5"/>
    <w:rsid w:val="006A4B65"/>
    <w:rsid w:val="006B608E"/>
    <w:rsid w:val="006D0B23"/>
    <w:rsid w:val="006E26BC"/>
    <w:rsid w:val="00700ADF"/>
    <w:rsid w:val="007160B7"/>
    <w:rsid w:val="007241DC"/>
    <w:rsid w:val="007259B5"/>
    <w:rsid w:val="00776253"/>
    <w:rsid w:val="007772AC"/>
    <w:rsid w:val="00782337"/>
    <w:rsid w:val="00796764"/>
    <w:rsid w:val="007A536B"/>
    <w:rsid w:val="00807B3B"/>
    <w:rsid w:val="008C2032"/>
    <w:rsid w:val="008D3788"/>
    <w:rsid w:val="008D53F3"/>
    <w:rsid w:val="008E5C71"/>
    <w:rsid w:val="008F0668"/>
    <w:rsid w:val="00924655"/>
    <w:rsid w:val="00944F3C"/>
    <w:rsid w:val="009711E0"/>
    <w:rsid w:val="009E0EC7"/>
    <w:rsid w:val="00A07193"/>
    <w:rsid w:val="00A278A7"/>
    <w:rsid w:val="00A31022"/>
    <w:rsid w:val="00B16609"/>
    <w:rsid w:val="00B2131D"/>
    <w:rsid w:val="00B260B9"/>
    <w:rsid w:val="00B3417C"/>
    <w:rsid w:val="00B84E31"/>
    <w:rsid w:val="00BA247C"/>
    <w:rsid w:val="00BE5370"/>
    <w:rsid w:val="00C0687D"/>
    <w:rsid w:val="00C236B7"/>
    <w:rsid w:val="00C2647E"/>
    <w:rsid w:val="00C40F34"/>
    <w:rsid w:val="00C43F13"/>
    <w:rsid w:val="00C86045"/>
    <w:rsid w:val="00CA1D44"/>
    <w:rsid w:val="00CC647D"/>
    <w:rsid w:val="00D660DE"/>
    <w:rsid w:val="00D94DD1"/>
    <w:rsid w:val="00DA7A1A"/>
    <w:rsid w:val="00DF7ADE"/>
    <w:rsid w:val="00E11B79"/>
    <w:rsid w:val="00E71151"/>
    <w:rsid w:val="00E9298B"/>
    <w:rsid w:val="00EC5068"/>
    <w:rsid w:val="00EF7ED2"/>
    <w:rsid w:val="00F0227A"/>
    <w:rsid w:val="00F02BFB"/>
    <w:rsid w:val="00F657BE"/>
    <w:rsid w:val="00F706CC"/>
    <w:rsid w:val="00FC710C"/>
    <w:rsid w:val="00FF1B60"/>
    <w:rsid w:val="00FF2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52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52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5227"/>
    <w:rPr>
      <w:color w:val="0000FF" w:themeColor="hyperlink"/>
      <w:u w:val="single"/>
    </w:rPr>
  </w:style>
  <w:style w:type="character" w:customStyle="1" w:styleId="Heading1Char">
    <w:name w:val="Heading 1 Char"/>
    <w:basedOn w:val="DefaultParagraphFont"/>
    <w:link w:val="Heading1"/>
    <w:uiPriority w:val="9"/>
    <w:rsid w:val="0065522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522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5522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02BFB"/>
    <w:pPr>
      <w:spacing w:after="0" w:line="504" w:lineRule="auto"/>
      <w:ind w:left="720" w:firstLine="1440"/>
      <w:contextualSpacing/>
    </w:pPr>
    <w:rPr>
      <w:rFonts w:ascii="Times New Roman" w:eastAsia="Times New Roman" w:hAnsi="Times New Roman" w:cs="Times New Roman"/>
      <w:sz w:val="20"/>
      <w:szCs w:val="20"/>
      <w:lang w:eastAsia="ja-JP"/>
    </w:rPr>
  </w:style>
  <w:style w:type="paragraph" w:styleId="Header">
    <w:name w:val="header"/>
    <w:basedOn w:val="Normal"/>
    <w:link w:val="HeaderChar"/>
    <w:uiPriority w:val="99"/>
    <w:unhideWhenUsed/>
    <w:rsid w:val="00C23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6B7"/>
  </w:style>
  <w:style w:type="paragraph" w:styleId="Footer">
    <w:name w:val="footer"/>
    <w:basedOn w:val="Normal"/>
    <w:link w:val="FooterChar"/>
    <w:uiPriority w:val="99"/>
    <w:unhideWhenUsed/>
    <w:rsid w:val="00C23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6B7"/>
  </w:style>
  <w:style w:type="table" w:styleId="TableGrid">
    <w:name w:val="Table Grid"/>
    <w:basedOn w:val="TableNormal"/>
    <w:uiPriority w:val="59"/>
    <w:rsid w:val="00DF7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552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52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5227"/>
    <w:rPr>
      <w:color w:val="0000FF" w:themeColor="hyperlink"/>
      <w:u w:val="single"/>
    </w:rPr>
  </w:style>
  <w:style w:type="character" w:customStyle="1" w:styleId="Heading1Char">
    <w:name w:val="Heading 1 Char"/>
    <w:basedOn w:val="DefaultParagraphFont"/>
    <w:link w:val="Heading1"/>
    <w:uiPriority w:val="9"/>
    <w:rsid w:val="0065522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522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5522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02BFB"/>
    <w:pPr>
      <w:spacing w:after="0" w:line="504" w:lineRule="auto"/>
      <w:ind w:left="720" w:firstLine="1440"/>
      <w:contextualSpacing/>
    </w:pPr>
    <w:rPr>
      <w:rFonts w:ascii="Times New Roman" w:eastAsia="Times New Roman" w:hAnsi="Times New Roman" w:cs="Times New Roman"/>
      <w:sz w:val="20"/>
      <w:szCs w:val="20"/>
      <w:lang w:eastAsia="ja-JP"/>
    </w:rPr>
  </w:style>
  <w:style w:type="paragraph" w:styleId="Header">
    <w:name w:val="header"/>
    <w:basedOn w:val="Normal"/>
    <w:link w:val="HeaderChar"/>
    <w:uiPriority w:val="99"/>
    <w:unhideWhenUsed/>
    <w:rsid w:val="00C236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6B7"/>
  </w:style>
  <w:style w:type="paragraph" w:styleId="Footer">
    <w:name w:val="footer"/>
    <w:basedOn w:val="Normal"/>
    <w:link w:val="FooterChar"/>
    <w:uiPriority w:val="99"/>
    <w:unhideWhenUsed/>
    <w:rsid w:val="00C236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6B7"/>
  </w:style>
  <w:style w:type="table" w:styleId="TableGrid">
    <w:name w:val="Table Grid"/>
    <w:basedOn w:val="TableNormal"/>
    <w:uiPriority w:val="59"/>
    <w:rsid w:val="00DF7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287705">
      <w:bodyDiv w:val="1"/>
      <w:marLeft w:val="0"/>
      <w:marRight w:val="0"/>
      <w:marTop w:val="0"/>
      <w:marBottom w:val="0"/>
      <w:divBdr>
        <w:top w:val="none" w:sz="0" w:space="0" w:color="auto"/>
        <w:left w:val="none" w:sz="0" w:space="0" w:color="auto"/>
        <w:bottom w:val="none" w:sz="0" w:space="0" w:color="auto"/>
        <w:right w:val="none" w:sz="0" w:space="0" w:color="auto"/>
      </w:divBdr>
      <w:divsChild>
        <w:div w:id="256986741">
          <w:marLeft w:val="0"/>
          <w:marRight w:val="0"/>
          <w:marTop w:val="0"/>
          <w:marBottom w:val="0"/>
          <w:divBdr>
            <w:top w:val="none" w:sz="0" w:space="0" w:color="auto"/>
            <w:left w:val="none" w:sz="0" w:space="0" w:color="auto"/>
            <w:bottom w:val="none" w:sz="0" w:space="0" w:color="auto"/>
            <w:right w:val="none" w:sz="0" w:space="0" w:color="auto"/>
          </w:divBdr>
          <w:divsChild>
            <w:div w:id="984352368">
              <w:marLeft w:val="0"/>
              <w:marRight w:val="0"/>
              <w:marTop w:val="0"/>
              <w:marBottom w:val="0"/>
              <w:divBdr>
                <w:top w:val="none" w:sz="0" w:space="0" w:color="auto"/>
                <w:left w:val="none" w:sz="0" w:space="0" w:color="auto"/>
                <w:bottom w:val="none" w:sz="0" w:space="0" w:color="auto"/>
                <w:right w:val="none" w:sz="0" w:space="0" w:color="auto"/>
              </w:divBdr>
              <w:divsChild>
                <w:div w:id="409162526">
                  <w:marLeft w:val="0"/>
                  <w:marRight w:val="0"/>
                  <w:marTop w:val="0"/>
                  <w:marBottom w:val="150"/>
                  <w:divBdr>
                    <w:top w:val="none" w:sz="0" w:space="0" w:color="auto"/>
                    <w:left w:val="none" w:sz="0" w:space="0" w:color="auto"/>
                    <w:bottom w:val="none" w:sz="0" w:space="0" w:color="auto"/>
                    <w:right w:val="none" w:sz="0" w:space="0" w:color="auto"/>
                  </w:divBdr>
                  <w:divsChild>
                    <w:div w:id="1090856546">
                      <w:marLeft w:val="-225"/>
                      <w:marRight w:val="-225"/>
                      <w:marTop w:val="0"/>
                      <w:marBottom w:val="0"/>
                      <w:divBdr>
                        <w:top w:val="single" w:sz="6" w:space="0" w:color="D4E0E4"/>
                        <w:left w:val="none" w:sz="0" w:space="0" w:color="auto"/>
                        <w:bottom w:val="single" w:sz="6" w:space="0" w:color="D4E0E4"/>
                        <w:right w:val="none" w:sz="0" w:space="0" w:color="auto"/>
                      </w:divBdr>
                    </w:div>
                  </w:divsChild>
                </w:div>
              </w:divsChild>
            </w:div>
          </w:divsChild>
        </w:div>
        <w:div w:id="1377240017">
          <w:marLeft w:val="225"/>
          <w:marRight w:val="0"/>
          <w:marTop w:val="1860"/>
          <w:marBottom w:val="0"/>
          <w:divBdr>
            <w:top w:val="none" w:sz="0" w:space="0" w:color="auto"/>
            <w:left w:val="none" w:sz="0" w:space="0" w:color="auto"/>
            <w:bottom w:val="none" w:sz="0" w:space="0" w:color="auto"/>
            <w:right w:val="none" w:sz="0" w:space="0" w:color="auto"/>
          </w:divBdr>
          <w:divsChild>
            <w:div w:id="1075005240">
              <w:marLeft w:val="-225"/>
              <w:marRight w:val="-225"/>
              <w:marTop w:val="0"/>
              <w:marBottom w:val="0"/>
              <w:divBdr>
                <w:top w:val="none" w:sz="0" w:space="0" w:color="auto"/>
                <w:left w:val="none" w:sz="0" w:space="0" w:color="auto"/>
                <w:bottom w:val="none" w:sz="0" w:space="0" w:color="auto"/>
                <w:right w:val="none" w:sz="0" w:space="0" w:color="auto"/>
              </w:divBdr>
              <w:divsChild>
                <w:div w:id="585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156922">
          <w:marLeft w:val="0"/>
          <w:marRight w:val="0"/>
          <w:marTop w:val="0"/>
          <w:marBottom w:val="0"/>
          <w:divBdr>
            <w:top w:val="none" w:sz="0" w:space="0" w:color="auto"/>
            <w:left w:val="none" w:sz="0" w:space="0" w:color="auto"/>
            <w:bottom w:val="none" w:sz="0" w:space="0" w:color="auto"/>
            <w:right w:val="none" w:sz="0" w:space="0" w:color="auto"/>
          </w:divBdr>
          <w:divsChild>
            <w:div w:id="727732284">
              <w:marLeft w:val="0"/>
              <w:marRight w:val="0"/>
              <w:marTop w:val="0"/>
              <w:marBottom w:val="0"/>
              <w:divBdr>
                <w:top w:val="none" w:sz="0" w:space="0" w:color="auto"/>
                <w:left w:val="none" w:sz="0" w:space="0" w:color="auto"/>
                <w:bottom w:val="none" w:sz="0" w:space="0" w:color="auto"/>
                <w:right w:val="none" w:sz="0" w:space="0" w:color="auto"/>
              </w:divBdr>
              <w:divsChild>
                <w:div w:id="1010259361">
                  <w:marLeft w:val="0"/>
                  <w:marRight w:val="0"/>
                  <w:marTop w:val="0"/>
                  <w:marBottom w:val="0"/>
                  <w:divBdr>
                    <w:top w:val="none" w:sz="0" w:space="0" w:color="auto"/>
                    <w:left w:val="none" w:sz="0" w:space="0" w:color="auto"/>
                    <w:bottom w:val="none" w:sz="0" w:space="0" w:color="auto"/>
                    <w:right w:val="none" w:sz="0" w:space="0" w:color="auto"/>
                  </w:divBdr>
                  <w:divsChild>
                    <w:div w:id="419524227">
                      <w:marLeft w:val="-225"/>
                      <w:marRight w:val="-225"/>
                      <w:marTop w:val="0"/>
                      <w:marBottom w:val="0"/>
                      <w:divBdr>
                        <w:top w:val="none" w:sz="0" w:space="0" w:color="auto"/>
                        <w:left w:val="none" w:sz="0" w:space="0" w:color="auto"/>
                        <w:bottom w:val="none" w:sz="0" w:space="0" w:color="auto"/>
                        <w:right w:val="none" w:sz="0" w:space="0" w:color="auto"/>
                      </w:divBdr>
                      <w:divsChild>
                        <w:div w:id="1251699857">
                          <w:marLeft w:val="0"/>
                          <w:marRight w:val="0"/>
                          <w:marTop w:val="0"/>
                          <w:marBottom w:val="0"/>
                          <w:divBdr>
                            <w:top w:val="none" w:sz="0" w:space="0" w:color="auto"/>
                            <w:left w:val="none" w:sz="0" w:space="0" w:color="auto"/>
                            <w:bottom w:val="none" w:sz="0" w:space="0" w:color="auto"/>
                            <w:right w:val="none" w:sz="0" w:space="0" w:color="auto"/>
                          </w:divBdr>
                          <w:divsChild>
                            <w:div w:id="160390276">
                              <w:marLeft w:val="0"/>
                              <w:marRight w:val="0"/>
                              <w:marTop w:val="0"/>
                              <w:marBottom w:val="0"/>
                              <w:divBdr>
                                <w:top w:val="none" w:sz="0" w:space="0" w:color="auto"/>
                                <w:left w:val="none" w:sz="0" w:space="0" w:color="auto"/>
                                <w:bottom w:val="none" w:sz="0" w:space="0" w:color="auto"/>
                                <w:right w:val="none" w:sz="0" w:space="0" w:color="auto"/>
                              </w:divBdr>
                              <w:divsChild>
                                <w:div w:id="559898711">
                                  <w:marLeft w:val="0"/>
                                  <w:marRight w:val="0"/>
                                  <w:marTop w:val="0"/>
                                  <w:marBottom w:val="0"/>
                                  <w:divBdr>
                                    <w:top w:val="none" w:sz="0" w:space="0" w:color="auto"/>
                                    <w:left w:val="none" w:sz="0" w:space="0" w:color="auto"/>
                                    <w:bottom w:val="none" w:sz="0" w:space="0" w:color="auto"/>
                                    <w:right w:val="none" w:sz="0" w:space="0" w:color="auto"/>
                                  </w:divBdr>
                                  <w:divsChild>
                                    <w:div w:id="1973559029">
                                      <w:marLeft w:val="0"/>
                                      <w:marRight w:val="0"/>
                                      <w:marTop w:val="0"/>
                                      <w:marBottom w:val="0"/>
                                      <w:divBdr>
                                        <w:top w:val="none" w:sz="0" w:space="0" w:color="auto"/>
                                        <w:left w:val="none" w:sz="0" w:space="0" w:color="auto"/>
                                        <w:bottom w:val="none" w:sz="0" w:space="0" w:color="auto"/>
                                        <w:right w:val="none" w:sz="0" w:space="0" w:color="auto"/>
                                      </w:divBdr>
                                      <w:divsChild>
                                        <w:div w:id="191104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14325">
                                  <w:marLeft w:val="0"/>
                                  <w:marRight w:val="0"/>
                                  <w:marTop w:val="0"/>
                                  <w:marBottom w:val="0"/>
                                  <w:divBdr>
                                    <w:top w:val="none" w:sz="0" w:space="0" w:color="auto"/>
                                    <w:left w:val="none" w:sz="0" w:space="0" w:color="auto"/>
                                    <w:bottom w:val="none" w:sz="0" w:space="0" w:color="auto"/>
                                    <w:right w:val="none" w:sz="0" w:space="0" w:color="auto"/>
                                  </w:divBdr>
                                  <w:divsChild>
                                    <w:div w:id="899822475">
                                      <w:marLeft w:val="0"/>
                                      <w:marRight w:val="0"/>
                                      <w:marTop w:val="0"/>
                                      <w:marBottom w:val="0"/>
                                      <w:divBdr>
                                        <w:top w:val="none" w:sz="0" w:space="0" w:color="auto"/>
                                        <w:left w:val="none" w:sz="0" w:space="0" w:color="auto"/>
                                        <w:bottom w:val="none" w:sz="0" w:space="0" w:color="auto"/>
                                        <w:right w:val="none" w:sz="0" w:space="0" w:color="auto"/>
                                      </w:divBdr>
                                      <w:divsChild>
                                        <w:div w:id="155681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Court_Clerk_Filing_Issues_Letter</dc:title>
  <dc:creator>none;EWS</dc:creator>
  <cp:lastModifiedBy>Greg J Sinor</cp:lastModifiedBy>
  <cp:revision>3</cp:revision>
  <cp:lastPrinted>2020-10-19T10:17:00Z</cp:lastPrinted>
  <dcterms:created xsi:type="dcterms:W3CDTF">2020-12-03T01:35:00Z</dcterms:created>
  <dcterms:modified xsi:type="dcterms:W3CDTF">2020-12-10T04:13:00Z</dcterms:modified>
</cp:coreProperties>
</file>